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lang w:val="es-ES"/>
          <w:b w:val="1"/>
          <w:bCs w:val="1"/>
        </w:rPr>
        <w:t xml:space="preserve">Antecedentes de la institución:</w:t>
      </w:r>
    </w:p>
    <w:p>
      <w:pPr/>
      <w:r>
        <w:rPr>
          <w:lang w:val="es-ES"/>
        </w:rPr>
        <w:t xml:space="preserve">Entre finales de los años 70 e inicio de los 80 se produjo un aumento significativo de adictos a diferentes sustancias en el norte de la isla de Gran Canaria. Destacar que en la comarca noroeste fue importante los consumos de heroína fumada entre los jóvenes entre 20 a 30 años. Esto motivo que se organizarán movimientos ciudadanos, sobre todo de madres de adictos, que luchaban por conseguir recursos específicos que ayudaran a combatir y mitigar la enfermedad.</w:t>
      </w:r>
    </w:p>
    <w:p>
      <w:pPr/>
      <w:r>
        <w:rPr>
          <w:lang w:val="es-ES"/>
        </w:rPr>
        <w:t xml:space="preserve">Con fecha 1985 desde las instancias gubernamentales del municipio de Gáldar, se inicia un proceso de solicitud y justificación para crear una unidad de atención a las drogodependencias que permitieran dar respuesta a esta demanda ante el gobierno de la comunidad autónoma de Canarias; y que abarcara el trabajo en toda la comarca noreste( Santa María de Guía, Gáldar y Agaete). </w:t>
      </w:r>
    </w:p>
    <w:p>
      <w:pPr/>
      <w:r>
        <w:rPr>
          <w:lang w:val="es-ES"/>
        </w:rPr>
        <w:t xml:space="preserve"> </w:t>
      </w:r>
    </w:p>
    <w:p>
      <w:pPr/>
      <w:r>
        <w:rPr>
          <w:lang w:val="es-ES"/>
        </w:rPr>
        <w:t xml:space="preserve">En 1989 se crea el servicio Centro de Atención al drogodependencia, adscrito a la concejalía de servicios sociales del ayuntamiento de Gáldar, cuya primera concejal al cargo era Dña. Genoveva Pérez. Durante este tiempo el centro solo contaba con equipo terapéutico (psicólogo, trabajador social), y taller que contaba (con 1 educadora y tres monitores). </w:t>
      </w:r>
    </w:p>
    <w:p>
      <w:pPr/>
      <w:r>
        <w:rPr>
          <w:lang w:val="es-ES"/>
        </w:rPr>
        <w:t xml:space="preserve">En cuanto a los servicios de farmacia y laboratorio se enviaba muestras de orina y se recogía medicamento de metadona en el laboratorio perteneciente a la ONG Plataforma contra la Droga, en la unidad de San Cristóbal en Las Palmas; siendo realizado el traslado por personal de la unidad de Gáldar.</w:t>
      </w:r>
    </w:p>
    <w:p>
      <w:pPr/>
      <w:r>
        <w:rPr>
          <w:lang w:val="es-ES"/>
        </w:rPr>
        <w:t xml:space="preserve">El 18 de Mayo de 1992 se constituye el Instituto Municipal de Toxicomanías e Intervención en Áreas Sociales del Excmo. Ayuntamiento de Gáldar, creándose como empresa desvinculada de los servicios sociales, con sus estatutos propios pero gestionada desde el Ayuntamiento de Gáldar, pasando a ser un organismo autónomo, que recibía directamente su subvención del Gobierno de Canarias. </w:t>
      </w:r>
    </w:p>
    <w:p>
      <w:pPr/>
      <w:r>
        <w:rPr>
          <w:lang w:val="es-ES"/>
        </w:rPr>
        <w:t xml:space="preserve">Durante este periodo el Instituto aumenta la plantilla con la que inicio su andadura: </w:t>
      </w:r>
    </w:p>
    <w:p>
      <w:pPr/>
      <w:r>
        <w:rPr>
          <w:lang w:val="es-ES"/>
        </w:rPr>
        <w:t xml:space="preserve">2 Psicólogo.</w:t>
      </w:r>
    </w:p>
    <w:p>
      <w:pPr/>
      <w:r>
        <w:rPr>
          <w:lang w:val="es-ES"/>
        </w:rPr>
        <w:t xml:space="preserve">1 Trabajador Social.</w:t>
      </w:r>
    </w:p>
    <w:p>
      <w:pPr/>
      <w:r>
        <w:rPr>
          <w:lang w:val="es-ES"/>
        </w:rPr>
        <w:t xml:space="preserve">1 Educador.</w:t>
      </w:r>
    </w:p>
    <w:p>
      <w:pPr/>
      <w:r>
        <w:rPr>
          <w:lang w:val="es-ES"/>
        </w:rPr>
        <w:t xml:space="preserve">3 Monitores.</w:t>
      </w:r>
    </w:p>
    <w:p>
      <w:pPr/>
      <w:r>
        <w:rPr>
          <w:lang w:val="es-ES"/>
        </w:rPr>
        <w:t xml:space="preserve">Su ubicación en este periodo fue en el extrarradio de la ciudad.</w:t>
      </w:r>
    </w:p>
    <w:p>
      <w:pPr/>
      <w:r>
        <w:rPr>
          <w:lang w:val="es-ES"/>
        </w:rPr>
        <w:t xml:space="preserve">En 1993 se inicia el proceso para la apertura de la Comunidad Terapéutica Punta de Gáldar. Para dicho servicio se contrató una plantilla de 30 personas que en Junio de 1994 inician su trabajo en la Comunidad Terapéutica Punta de Gáldar.</w:t>
      </w:r>
    </w:p>
    <w:p>
      <w:pPr/>
      <w:r>
        <w:rPr>
          <w:lang w:val="es-ES"/>
        </w:rPr>
        <w:t xml:space="preserve">En diciembre de 1997 se traslada la unidad del extrarradio al centro de la ciudad, exactamente al Centro ambulatorio del municipio de Gáldar.</w:t>
      </w:r>
    </w:p>
    <w:p>
      <w:pPr/>
      <w:r>
        <w:rPr>
          <w:lang w:val="es-ES"/>
        </w:rPr>
        <w:t xml:space="preserve">Con dicho traslado se amplia los servicios de la unidad contando aparte del personal ya existente con:</w:t>
      </w:r>
    </w:p>
    <w:p>
      <w:pPr/>
      <w:r>
        <w:rPr>
          <w:lang w:val="es-ES"/>
        </w:rPr>
        <w:t xml:space="preserve">1 medico.</w:t>
      </w:r>
    </w:p>
    <w:p>
      <w:pPr/>
      <w:r>
        <w:rPr>
          <w:lang w:val="es-ES"/>
        </w:rPr>
        <w:t xml:space="preserve">2 educadores.</w:t>
      </w:r>
    </w:p>
    <w:p>
      <w:pPr/>
      <w:r>
        <w:rPr>
          <w:lang w:val="es-ES"/>
        </w:rPr>
        <w:t xml:space="preserve">1 administrativo.</w:t>
      </w:r>
    </w:p>
    <w:p>
      <w:pPr/>
      <w:r>
        <w:rPr>
          <w:lang w:val="es-ES"/>
        </w:rPr>
        <w:t xml:space="preserve">Y se abre el servicio de laboratorio y farmacia que permite desde ese momento analizar y preparar medicación desde la propia unidad, contando con:</w:t>
      </w:r>
    </w:p>
    <w:p>
      <w:pPr/>
      <w:r>
        <w:rPr>
          <w:lang w:val="es-ES"/>
        </w:rPr>
        <w:t xml:space="preserve">1 farmacéutico.</w:t>
      </w:r>
    </w:p>
    <w:p>
      <w:pPr/>
      <w:r>
        <w:rPr>
          <w:lang w:val="es-ES"/>
        </w:rPr>
        <w:t xml:space="preserve">A partir de aquí se van creando nuevos programas:</w:t>
      </w:r>
    </w:p>
    <w:p>
      <w:pPr/>
      <w:r>
        <w:rPr>
          <w:lang w:val="es-ES"/>
        </w:rPr>
        <w:t xml:space="preserve">Programa de Prevención: 1999.</w:t>
      </w:r>
    </w:p>
    <w:p>
      <w:pPr/>
      <w:r>
        <w:rPr>
          <w:lang w:val="es-ES"/>
        </w:rPr>
        <w:t xml:space="preserve">Programa de Menores: 2018.</w:t>
      </w:r>
    </w:p>
    <w:p>
      <w:pPr/>
      <w:r>
        <w:rPr>
          <w:lang w:val="es-ES"/>
        </w:rPr>
        <w:t xml:space="preserve">Programa de Educadores de Calle: 2019.</w:t>
      </w:r>
    </w:p>
    <w:p>
      <w:pPr/>
      <w:r>
        <w:rPr>
          <w:lang w:val="es-ES"/>
        </w:rPr>
        <w:t xml:space="preserve">En el año 31 de Diciembre de 2001 se cierra la Comunidad Terapéutica Punta de Gáldar por falta de demanda terapéutica. </w:t>
      </w:r>
    </w:p>
    <w:p>
      <w:pPr/>
      <w:r>
        <w:rPr>
          <w:lang w:val="es-ES"/>
        </w:rPr>
        <w:t xml:space="preserve">En agosto del 2012 la unidad es objeto de una gran remodelación debido a recortes económicos realizados por la entonces Dirección General de Drogodependencia. Estos recortes llevaron a la eliminación de la figura del Gerente, y el despido del equipo de prevención, cierre del centro de día y despido de un monitor terapéutico.</w:t>
      </w:r>
    </w:p>
    <w:p>
      <w:pPr/>
      <w:r>
        <w:rPr>
          <w:lang w:val="es-ES"/>
        </w:rPr>
        <w:t xml:space="preserve">Se lleva a cabo una reorganización del personal, cubriendo los técnicos del antiguo centro de día las actividades que se llevaban a cabo en prevención y apoyando con los pacientes menores.</w:t>
      </w:r>
    </w:p>
    <w:p>
      <w:pPr/>
      <w:r>
        <w:rPr>
          <w:lang w:val="es-ES"/>
        </w:rPr>
        <w:t xml:space="preserve">Además se nombre a la trabajadora social de la unidad en el cargo de Coordinadora, cubriendo las funciones que hasta ese momento realizaba el gerente, a excepción de las económicas que pasaron a ser responsabilidad de los servicios de tesorería e intervención del ayuntamiento de Gáldar.</w:t>
      </w:r>
    </w:p>
    <w:p>
      <w:pPr/>
      <w:r>
        <w:rPr>
          <w:lang w:val="es-ES"/>
        </w:rPr>
        <w:t xml:space="preserve">A partir del año 2018 y hasta el año 2022 la unidad inicia una mejora con oferta de nuevos servicios: Programa de Menores, Programa de Educadores de Calle, ampliación del Programa de Prevención. Que permitió el aumento de personal de hasta 7 técnicos y la cuantía económica pasando de 370.000€ a 788.000€</w:t>
      </w:r>
    </w:p>
    <w:p>
      <w:pPr>
        <w:jc w:val="both"/>
      </w:pPr>
      <w:r>
        <w:rPr>
          <w:b w:val="1"/>
          <w:bCs w:val="1"/>
        </w:rPr>
        <w:t xml:space="preserve">Información General</w:t>
      </w:r>
    </w:p>
    <w:p>
      <w:pPr>
        <w:jc w:val="both"/>
      </w:pPr>
      <w:r>
        <w:rPr/>
        <w:t xml:space="preserve">Con el paso del tiempo y sobre todo con los últimos años, el consumo de drogas y las adicciones comportamentales se ha convertido en uno de los problemas fundamentales de nuestra sociedad. Lo que en un principio se circundaba a pequeños grupos de nuestra población y a determinados consumos, en los últimos años se ha incrementado a todos los sectores de nuestra sociedad sin tener en cuenta clases sociales, ocupación, educación, edad, sexo y se ha ampliado a un abanico de sustancias de las que en muchas situaciones no conocemos ni su composición ni su procedencia. Ademas el uso de las tecnologías y el juego tanto presencial como online, han llevado a una nueva perspectiva de la adicción en nuestra comunidad y mas cercana en los municipios de referencia de esta unidad. En la mayoría de los casos el estudio de las adicciones, su influencia en el entorno social y en la familia, su repercusión en la economía de la zona donde se desata queda relegada a un segundo plano, primando como objetivo principal de las actuaciones de las instituciones, el curar a los/las pacientes adictos/as; si bien este tiene que ser un fin primordial en los programas de desintoxicación, es también cierto que es necesario saber el origen del consumo, el dónde y el cuándo, para poder desarrollar estrategias que permitan minimizar el riesgo de recaídas; por otro lado la trascendencia de saber cómo influye la población adicta en el aspecto económico, social y cultural de un pueblo, ayudará a éste a poder combatir más eficientemente el problema de la droga. El Instituto Municipal de Toxicomanía del excelentísimo Ayuntamiento de Gáldar realiza funciones en el municipio desde el año 1988. Se situa en la zona norte de la isla de Gran Canaria. En él, se atiende a toda la Comarca Norte de la isla de Gran Canaria (Municipios de Santa María de Guía, Gáldar y Agaete) y cuenta con titularidad de carácter público Excm. Ayto Gáldar.  La unidad consta de dos ubicaciones en el municipio de Galdar, diviendo el trabajo según sector:  una ubicación recoge el trabajo asistencial con adultos y laboratorio y otra recoge el trabajo con menores y prevención. En esta entidad se trabaja con usuarios/as que sufren algún tipo de adicción, es decir toda aquella persona que sufra una dependencia o presente algún tipo de comportamiento adictivo. Se trabaja con las/los usuarias/os mediante un equipo multidisciplinar, tratando desde los aspectos médicos y psicológicos, pasando por la parte social y educativa, hasta llegar a la reinserción social en caso necesario. Además de atender a personas con adicción a sustancias, también atendemos a personas con adicciones comportamentales como la ludopatía, cleptomanía, abuso de nuevas tecnologías entre otros. La unidad se enmarca dentro del municipio de mayor densidad de población entre los tres de la comarca norte, con 24.811 habitantes, siendo eminentemente un municipio comercial. Los resultados arrojados de la última Encuesta sobre alcohol y otras drogas en España, EDADES  2024, señalan que la Comunidad Autónoma de Canarias ocupa un segundo puesto a nivel nacional en consumo de cannabis (16%). En cuanto al consumo de alcohol ocupamos el cuarto lugar en intoxicaciones etílicas agudas. Por otro lado se observa un aumento del 2.3% en el consumo de bebidas energéticas. Y a nivel nacional el consumo de cannabis y cocaína muestra una subida marcando máximos en la serie histórica. Los </w:t>
      </w:r>
      <w:r>
        <w:rPr>
          <w:b w:val="1"/>
          <w:bCs w:val="1"/>
        </w:rPr>
        <w:t xml:space="preserve">Objetivos Generales de la entidad </w:t>
      </w:r>
      <w:r>
        <w:rPr/>
        <w:t xml:space="preserve">según expone  el IV Plan Canario de Drogas: </w:t>
      </w:r>
    </w:p>
    <w:p>
      <w:pPr/>
    </w:p>
    <w:tbl>
      <w:tblGrid>
        <w:gridCol w:w="1900" w:type="dxa"/>
        <w:gridCol w:w="2600" w:type="dxa"/>
      </w:tblGrid>
      <w:tblPr>
        <w:tblW w:w="5000" w:type="pct"/>
        <w:tblLayout w:type="autofit"/>
        <w:bidiVisual w:val="0"/>
      </w:tblPr>
      <w:tr>
        <w:trPr>
          <w:tblHeader w:val="1"/>
        </w:trPr>
        <w:tc>
          <w:tcPr>
            <w:tcW w:w="1900" w:type="pct"/>
            <w:gridSpan w:val="2"/>
          </w:tcPr>
          <w:p>
            <w:pPr/>
            <w:r>
              <w:rPr/>
              <w:t xml:space="preserve">Fecha</w:t>
            </w:r>
          </w:p>
        </w:tc>
        <w:tc>
          <w:tcPr>
            <w:tcW w:w="2600" w:type="pct"/>
          </w:tcPr>
          <w:p>
            <w:pPr/>
            <w:r>
              <w:rPr/>
              <w:t xml:space="preserve">Documento</w:t>
            </w:r>
          </w:p>
        </w:tc>
      </w:tr>
      <w:tr>
        <w:trPr/>
        <w:tc>
          <w:tcPr>
            <w:tcW w:w="1900" w:type="pct"/>
            <w:vAlign w:val="center"/>
            <w:gridSpan w:val="2"/>
          </w:tcPr>
          <w:p>
            <w:pPr>
              <w:jc w:val="center"/>
            </w:pPr>
            <w:r>
              <w:rPr/>
              <w:t xml:space="preserve">03/07/2025</w:t>
            </w:r>
          </w:p>
        </w:tc>
        <w:tc>
          <w:tcPr>
            <w:tcW w:w="2600" w:type="pct"/>
            <w:vAlign w:val="center"/>
          </w:tcPr>
          <w:p>
            <w:pPr>
              <w:jc w:val="center"/>
            </w:pPr>
          </w:p>
        </w:tc>
      </w:tr>
    </w:tbl>
    <w:p>
      <w:pPr/>
      <w:r>
        <w:rPr/>
        <w:t xml:space="preserve"> </w:t>
      </w:r>
    </w:p>
    <w:p>
      <w:pPr/>
      <w:r>
        <w:rPr>
          <w:b w:val="1"/>
          <w:bCs w:val="1"/>
        </w:rPr>
        <w:t xml:space="preserve">Información Económica</w:t>
      </w:r>
    </w:p>
    <w:p>
      <w:pPr>
        <w:jc w:val="both"/>
      </w:pPr>
      <w:r>
        <w:rPr/>
        <w:t xml:space="preserve">El presupuesto de esta entidad se articula íntegramente mediante subvenciones directas y nominativas, concedidas por el Servicio Canario de la Salud a través de la Consejería de Sanidad del Gobierno de Canarias. Estas ayudas están destinadas a financiar la gestión de programas y servicios sociosanitarios de prevención e intervención en drogodependencias.</w:t>
      </w:r>
    </w:p>
    <w:tbl>
      <w:tblGrid>
        <w:gridCol w:w="22450" w:type="dxa"/>
        <w:gridCol w:w="483450" w:type="dxa"/>
      </w:tblGrid>
      <w:tblPr>
        <w:tblW w:w="5000" w:type="pct"/>
        <w:tblLayout w:type="autofit"/>
        <w:bidiVisual w:val="0"/>
      </w:tblPr>
      <w:tr>
        <w:trPr>
          <w:tblHeader w:val="1"/>
        </w:trPr>
        <w:tc>
          <w:tcPr>
            <w:tcW w:w="22450" w:type="pct"/>
            <w:gridSpan w:val="2"/>
          </w:tcPr>
          <w:p>
            <w:pPr/>
            <w:r>
              <w:rPr/>
              <w:t xml:space="preserve">Año</w:t>
            </w:r>
          </w:p>
        </w:tc>
        <w:tc>
          <w:tcPr>
            <w:tcW w:w="483450" w:type="pct"/>
          </w:tcPr>
          <w:p>
            <w:pPr/>
            <w:r>
              <w:rPr/>
              <w:t xml:space="preserve">Documento</w:t>
            </w:r>
          </w:p>
        </w:tc>
      </w:tr>
      <w:tr>
        <w:trPr/>
        <w:tc>
          <w:tcPr>
            <w:tcW w:w="22450" w:type="pct"/>
            <w:vAlign w:val="center"/>
            <w:gridSpan w:val="2"/>
          </w:tcPr>
          <w:p>
            <w:pPr>
              <w:jc w:val="center"/>
            </w:pPr>
            <w:r>
              <w:rPr/>
              <w:t xml:space="preserve">2025</w:t>
            </w:r>
          </w:p>
        </w:tc>
        <w:tc>
          <w:tcPr>
            <w:tcW w:w="483450" w:type="pct"/>
            <w:vAlign w:val="center"/>
          </w:tcPr>
          <w:p>
            <w:pPr>
              <w:jc w:val="center"/>
            </w:pPr>
            <w:r>
              <w:rPr/>
              <w:t xml:space="preserve"> </w:t>
            </w:r>
          </w:p>
          <w:p>
            <w:pPr>
              <w:jc w:val="center"/>
            </w:pPr>
          </w:p>
          <w:p>
            <w:pPr>
              <w:jc w:val="center"/>
            </w:pPr>
            <w:r>
              <w:rPr/>
              <w:t xml:space="preserve"> </w:t>
            </w:r>
          </w:p>
        </w:tc>
      </w:tr>
      <w:tr>
        <w:trPr/>
        <w:tc>
          <w:tcPr>
            <w:tcW w:w="22450" w:type="pct"/>
            <w:vAlign w:val="center"/>
            <w:gridSpan w:val="2"/>
          </w:tcPr>
          <w:p>
            <w:pPr>
              <w:jc w:val="center"/>
            </w:pPr>
            <w:r>
              <w:rPr/>
              <w:t xml:space="preserve">2024</w:t>
            </w:r>
          </w:p>
        </w:tc>
        <w:tc>
          <w:tcPr>
            <w:tcW w:w="483450" w:type="pct"/>
            <w:vAlign w:val="center"/>
          </w:tcPr>
          <w:p>
            <w:pPr>
              <w:jc w:val="center"/>
            </w:pPr>
            <w:r>
              <w:rPr/>
              <w:t xml:space="preserve"> </w:t>
            </w:r>
          </w:p>
        </w:tc>
      </w:tr>
      <w:tr>
        <w:trPr/>
        <w:tc>
          <w:tcPr>
            <w:tcW w:w="483450" w:type="pct"/>
            <w:vAlign w:val="center"/>
          </w:tcPr>
          <w:p>
            <w:pPr>
              <w:jc w:val="center"/>
            </w:pPr>
            <w:r>
              <w:rPr/>
              <w:t xml:space="preserve"> </w:t>
            </w:r>
          </w:p>
        </w:tc>
      </w:tr>
      <w:tr>
        <w:trPr/>
        <w:tc>
          <w:tcPr>
            <w:tcW w:w="483450" w:type="pct"/>
            <w:vAlign w:val="center"/>
          </w:tcPr>
          <w:p>
            <w:pPr>
              <w:jc w:val="center"/>
            </w:pPr>
            <w:r>
              <w:rPr/>
              <w:t xml:space="preserve"> </w:t>
            </w:r>
          </w:p>
        </w:tc>
      </w:tr>
      <w:tr>
        <w:trPr/>
        <w:tc>
          <w:tcPr>
            <w:tcW w:w="22450" w:type="pct"/>
            <w:vAlign w:val="center"/>
            <w:gridSpan w:val="2"/>
          </w:tcPr>
          <w:p>
            <w:pPr>
              <w:jc w:val="center"/>
            </w:pPr>
            <w:r>
              <w:rPr/>
              <w:t xml:space="preserve">2023</w:t>
            </w:r>
          </w:p>
        </w:tc>
        <w:tc>
          <w:tcPr>
            <w:tcW w:w="483450" w:type="pct"/>
            <w:vAlign w:val="center"/>
          </w:tcPr>
          <w:p>
            <w:pPr>
              <w:jc w:val="center"/>
            </w:pPr>
            <w:r>
              <w:rPr/>
              <w:t xml:space="preserve"> </w:t>
            </w:r>
          </w:p>
        </w:tc>
      </w:tr>
      <w:tr>
        <w:trPr/>
        <w:tc>
          <w:tcPr>
            <w:tcW w:w="483450" w:type="pct"/>
            <w:vAlign w:val="center"/>
          </w:tcPr>
          <w:p>
            <w:pPr>
              <w:jc w:val="center"/>
            </w:pPr>
            <w:r>
              <w:rPr/>
              <w:t xml:space="preserve"> </w:t>
            </w:r>
          </w:p>
        </w:tc>
      </w:tr>
      <w:tr>
        <w:trPr/>
        <w:tc>
          <w:tcPr>
            <w:tcW w:w="483450" w:type="pct"/>
            <w:vAlign w:val="center"/>
          </w:tcPr>
          <w:p>
            <w:pPr>
              <w:jc w:val="center"/>
            </w:pPr>
            <w:r>
              <w:rPr/>
              <w:t xml:space="preserve"> </w:t>
            </w:r>
          </w:p>
        </w:tc>
      </w:tr>
    </w:tbl>
    <w:p>
      <w:pPr/>
      <w:r>
        <w:rPr/>
        <w:t xml:space="preserve"> </w:t>
      </w:r>
    </w:p>
    <w:p>
      <w:pPr/>
      <w:r>
        <w:rPr>
          <w:b w:val="1"/>
          <w:bCs w:val="1"/>
        </w:rPr>
        <w:t xml:space="preserve">Marco normativo y presupuestario</w:t>
      </w:r>
    </w:p>
    <w:p>
      <w:pPr/>
      <w:r>
        <w:rPr>
          <w:b w:val="1"/>
          <w:bCs w:val="1"/>
        </w:rPr>
        <w:t xml:space="preserve">Funciones y servicios</w:t>
      </w:r>
    </w:p>
    <w:p>
      <w:pPr/>
      <w:r>
        <w:rPr/>
        <w:t xml:space="preserve">Prevención comunitaria: Charlas, talleres y campañas en centros educativos y asociaciones.</w:t>
      </w:r>
    </w:p>
    <w:p>
      <w:pPr/>
      <w:r>
        <w:rPr/>
        <w:t xml:space="preserve">Atención y tratamiento: Consulta médica, apoyo psicológico, seguimiento social y dispensación farmacéutica.</w:t>
      </w:r>
    </w:p>
    <w:p>
      <w:pPr/>
      <w:r>
        <w:rPr/>
        <w:t xml:space="preserve">Programas específicos: Intervención con menores en riesgo, grupos de apoyo familiar y actividades de reinserción.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2026-09-12T04:47:19+00:00</dcterms:created>
  <dcterms:modified xsi:type="dcterms:W3CDTF">2026-09-12T04:47:19+00:00</dcterms:modified>
</cp:coreProperties>
</file>

<file path=docProps/custom.xml><?xml version="1.0" encoding="utf-8"?>
<Properties xmlns="http://schemas.openxmlformats.org/officeDocument/2006/custom-properties" xmlns:vt="http://schemas.openxmlformats.org/officeDocument/2006/docPropsVTypes"/>
</file>