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5"/>
      </w:pPr>
      <w:r>
        <w:rPr>
          <w:b w:val="1"/>
          <w:bCs w:val="1"/>
        </w:rPr>
        <w:t xml:space="preserve">A nivel Internacional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nacional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Autonómico</w:t>
      </w:r>
    </w:p>
    <w:p>
      <w:pPr/>
      <w:r>
        <w:rPr/>
        <w:t xml:space="preserve"> </w:t>
      </w:r>
    </w:p>
    <w:p>
      <w:pPr>
        <w:pStyle w:val="Heading5"/>
      </w:pPr>
      <w:r>
        <w:rPr>
          <w:b w:val="1"/>
          <w:bCs w:val="1"/>
        </w:rPr>
        <w:t xml:space="preserve">A nivel local</w:t>
      </w:r>
    </w:p>
    <w:p>
      <w:pPr>
        <w:pStyle w:val="Heading5"/>
      </w:pPr>
      <w:r>
        <w:rPr>
          <w:b w:val="1"/>
          <w:bCs w:val="1"/>
        </w:rPr>
        <w:t xml:space="preserve">Entidad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2026-10-27T09:12:28+00:00</dcterms:created>
  <dcterms:modified xsi:type="dcterms:W3CDTF">2026-10-27T09:12:28+00:00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