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RECTORA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Ayuntamiento del Municipio de Gáldar, Plaza de Santiago, s/n. Galdar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La Junta Rectora es el órgano superior del Instituto Municipal de Toxicomania, la encargada de estudiar y aprobar los presupuestos y actividades anuales, aprobación del estado de cuentas, aprobación reglamento de régimen interno,  aprobación de la plantilla del Instituto Municipal de Toxicomanía.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COMITE EJECUTIVO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UAD  de Galdar, c/ aljirofe, 16, Gáldar.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Se encarga de supervisar, controlar y administrar las actividades técnicas, económicas y de gestión de la unidad.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p>
      <w:pPr/>
      <w:r>
        <w:rPr>
          <w:lang w:val="es-ES"/>
          <w:b w:val="1"/>
          <w:bCs w:val="1"/>
        </w:rPr>
        <w:t xml:space="preserve">Consejero/a Delegado/a:</w:t>
      </w:r>
    </w:p>
    <w:p>
      <w:pPr/>
      <w:r>
        <w:rPr>
          <w:lang w:val="es-ES"/>
        </w:rPr>
        <w:t xml:space="preserve"> </w:t>
      </w:r>
    </w:p>
    <w:p>
      <w:pPr/>
      <w:r>
        <w:rPr>
          <w:lang w:val="es-ES"/>
          <w:b w:val="1"/>
          <w:bCs w:val="1"/>
        </w:rPr>
        <w:t xml:space="preserve">Sede:</w:t>
      </w:r>
      <w:r>
        <w:rPr>
          <w:lang w:val="es-ES"/>
        </w:rPr>
        <w:t xml:space="preserve"> Instituto Municipal de Toxicomania e Intervención en Áreas sociales del Excmo. Ayto. Galdar.</w:t>
      </w:r>
    </w:p>
    <w:p>
      <w:pPr/>
      <w:r>
        <w:rPr>
          <w:lang w:val="es-ES"/>
          <w:b w:val="1"/>
          <w:bCs w:val="1"/>
        </w:rPr>
        <w:t xml:space="preserve">Ubicación:</w:t>
      </w:r>
      <w:r>
        <w:rPr>
          <w:lang w:val="es-ES"/>
        </w:rPr>
        <w:t xml:space="preserve"> c/ Aljirofe, n.º 16, CP: 35460, Gáldar.</w:t>
      </w:r>
    </w:p>
    <w:p>
      <w:pPr/>
      <w:r>
        <w:rPr>
          <w:lang w:val="es-ES"/>
          <w:b w:val="1"/>
          <w:bCs w:val="1"/>
        </w:rPr>
        <w:t xml:space="preserve">Composición:</w:t>
      </w:r>
      <w:r>
        <w:rPr>
          <w:lang w:val="es-ES"/>
        </w:rPr>
        <w:t xml:space="preserve"> Una Concejala delegada.</w:t>
      </w:r>
    </w:p>
    <w:p>
      <w:pPr/>
      <w:r>
        <w:rPr>
          <w:lang w:val="es-ES"/>
          <w:b w:val="1"/>
          <w:bCs w:val="1"/>
        </w:rPr>
        <w:t xml:space="preserve">Funciones:</w:t>
      </w:r>
    </w:p>
    <w:p>
      <w:pPr/>
      <w:r>
        <w:rPr>
          <w:lang w:val="es-ES"/>
        </w:rPr>
        <w:t xml:space="preserve"> </w:t>
      </w:r>
    </w:p>
    <w:p>
      <w:pPr/>
      <w:r>
        <w:rPr/>
        <w:t xml:space="preserve"> </w:t>
      </w:r>
    </w:p>
    <w:p>
      <w:pPr/>
      <w:r>
        <w:rPr>
          <w:lang w:val="es-ES"/>
          <w:b w:val="1"/>
          <w:bCs w:val="1"/>
        </w:rPr>
        <w:t xml:space="preserve">Persona Titular:</w:t>
      </w:r>
      <w:r>
        <w:rPr>
          <w:lang w:val="es-ES"/>
        </w:rPr>
        <w:t xml:space="preserve"> Nuria Vega Valencia. </w:t>
      </w:r>
    </w:p>
    <w:p>
      <w:pPr/>
      <w:r>
        <w:rPr>
          <w:lang w:val="es-ES"/>
        </w:rPr>
        <w:t xml:space="preserve"> </w:t>
      </w:r>
    </w:p>
    <w:p>
      <w:pPr/>
      <w:r>
        <w:rPr>
          <w:lang w:val="es-ES"/>
          <w:b w:val="1"/>
          <w:bCs w:val="1"/>
        </w:rPr>
        <w:t xml:space="preserve">Coordinador/a:</w:t>
      </w:r>
    </w:p>
    <w:p>
      <w:pPr/>
      <w:r>
        <w:rPr>
          <w:lang w:val="es-ES"/>
        </w:rPr>
        <w:t xml:space="preserve"> </w:t>
      </w:r>
    </w:p>
    <w:p>
      <w:pPr/>
      <w:r>
        <w:rPr>
          <w:lang w:val="es-ES"/>
          <w:color w:val="000000"/>
          <w:b w:val="1"/>
          <w:bCs w:val="1"/>
        </w:rPr>
        <w:t xml:space="preserve">Sede:</w:t>
      </w:r>
      <w:r>
        <w:rPr>
          <w:lang w:val="es-ES"/>
          <w:color w:val="000000"/>
        </w:rPr>
        <w:t xml:space="preserve"> Instituto Municipal de Toxicomania e Intervención en Áreas sociales del Excmo. Ayto. Galdar.</w:t>
      </w:r>
    </w:p>
    <w:p>
      <w:pPr/>
      <w:r>
        <w:rPr>
          <w:lang w:val="es-ES"/>
          <w:color w:val="000000"/>
          <w:b w:val="1"/>
          <w:bCs w:val="1"/>
        </w:rPr>
        <w:t xml:space="preserve">Ubicación: </w:t>
      </w:r>
      <w:r>
        <w:rPr>
          <w:lang w:val="es-ES"/>
        </w:rPr>
        <w:t xml:space="preserve">c/ Aljirofe, n.º 16, CP: 35460, Gáldar.</w:t>
      </w:r>
    </w:p>
    <w:p>
      <w:pPr/>
      <w:r>
        <w:rPr>
          <w:lang w:val="es-ES"/>
          <w:b w:val="1"/>
          <w:bCs w:val="1"/>
        </w:rPr>
        <w:t xml:space="preserve">Composición:</w:t>
      </w:r>
      <w:r>
        <w:rPr>
          <w:lang w:val="es-ES"/>
        </w:rPr>
        <w:t xml:space="preserve"> Un coordinador.</w:t>
      </w:r>
    </w:p>
    <w:p>
      <w:pPr/>
      <w:r>
        <w:rPr>
          <w:lang w:val="es-ES"/>
          <w:b w:val="1"/>
          <w:bCs w:val="1"/>
        </w:rPr>
        <w:t xml:space="preserve">Funciones:</w:t>
      </w:r>
    </w:p>
    <w:p>
      <w:pPr/>
      <w:r>
        <w:rPr/>
        <w:t xml:space="preserve"> </w:t>
      </w:r>
    </w:p>
    <w:p>
      <w:pPr/>
      <w:r>
        <w:rPr>
          <w:lang w:val="es-ES"/>
        </w:rPr>
        <w:t xml:space="preserve"> </w:t>
      </w:r>
    </w:p>
    <w:p>
      <w:pPr/>
      <w:r>
        <w:rPr>
          <w:rFonts w:ascii="Times New Roman" w:hAnsi="Times New Roman" w:eastAsia="Times New Roman" w:cs="Times New Roman"/>
          <w:lang w:val="es-ES"/>
          <w:b w:val="1"/>
          <w:bCs w:val="1"/>
        </w:rPr>
        <w:t xml:space="preserve">Persona Titular:</w:t>
      </w:r>
      <w:r>
        <w:rPr>
          <w:rFonts w:ascii="Times New Roman" w:hAnsi="Times New Roman" w:eastAsia="Times New Roman" w:cs="Times New Roman"/>
          <w:lang w:val="es-ES"/>
        </w:rPr>
        <w:t xml:space="preserve"> Maria Casilda Hernández Garcia. </w:t>
      </w:r>
    </w:p>
    <w:p>
      <w:pPr/>
      <w:r>
        <w:rPr/>
        <w:t xml:space="preserve"> </w:t>
      </w:r>
    </w:p>
    <w:p>
      <w:pPr/>
      <w:r>
        <w:rPr>
          <w:lang w:val="es-ES"/>
          <w:b w:val="1"/>
          <w:bCs w:val="1"/>
        </w:rPr>
        <w:t xml:space="preserve">Nombramiento/Contratación:</w:t>
      </w:r>
    </w:p>
    <w:p>
      <w:pPr/>
      <w:r>
        <w:rPr>
          <w:lang w:val="es-ES"/>
        </w:rPr>
        <w:t xml:space="preserve">No existe contratación exclusiva en materia de coordinación.</w:t>
      </w:r>
    </w:p>
    <w:p>
      <w:pPr/>
      <w:r>
        <w:rPr>
          <w:lang w:val="es-ES"/>
        </w:rPr>
        <w:t xml:space="preserve">El coordinador se elige entre el personal que posea formación universitaria y que desarrolle sus funciones en el área asistencial.</w:t>
      </w:r>
    </w:p>
    <w:p>
      <w:pPr/>
      <w:r>
        <w:rPr>
          <w:lang w:val="es-ES"/>
        </w:rPr>
        <w:t xml:space="preserve">En 2012 se nombra al trabajador social de la unidad como coordinadora de la institución; dicho técnico está contratado como trabajador social del Ayuntamiento de Gáldar desde 4/11/1998.</w:t>
      </w:r>
    </w:p>
    <w:p>
      <w:pPr/>
      <w:r>
        <w:rPr>
          <w:lang w:val="es-ES"/>
        </w:rPr>
        <w:t xml:space="preserve"> </w:t>
      </w:r>
    </w:p>
    <w:p>
      <w:pPr/>
      <w:r>
        <w:rPr>
          <w:lang w:val="es-ES"/>
          <w:b w:val="1"/>
          <w:bCs w:val="1"/>
        </w:rPr>
        <w:t xml:space="preserve">Funciones:</w:t>
      </w:r>
    </w:p>
    <w:p>
      <w:pPr>
        <w:jc w:val="start"/>
      </w:pPr>
      <w:r>
        <w:rPr>
          <w:rFonts w:ascii="Times New Roman" w:hAnsi="Times New Roman" w:eastAsia="Times New Roman" w:cs="Times New Roman"/>
          <w:lang w:val="es-ES"/>
        </w:rPr>
        <w:t xml:space="preserve">Colegiada por el Colegio de Trabajo Social de Las Palmas de Gran Canaria. </w:t>
      </w:r>
    </w:p>
    <w:p>
      <w:pPr>
        <w:jc w:val="start"/>
      </w:pPr>
      <w:r>
        <w:rPr>
          <w:rFonts w:ascii="Times New Roman" w:hAnsi="Times New Roman" w:eastAsia="Times New Roman" w:cs="Times New Roman"/>
          <w:lang w:val="es-ES"/>
        </w:rPr>
        <w:t xml:space="preserve">Colegiada 23- 426.</w:t>
      </w:r>
    </w:p>
    <w:p>
      <w:pPr>
        <w:jc w:val="start"/>
      </w:pPr>
      <w:r>
        <w:rPr>
          <w:lang w:val="es-ES"/>
          <w:color w:val="000000"/>
          <w:b w:val="1"/>
          <w:bCs w:val="1"/>
        </w:rPr>
        <w:t xml:space="preserve">A</w:t>
      </w:r>
      <w:r>
        <w:rPr>
          <w:lang w:val="es-ES"/>
          <w:color w:val="000000"/>
          <w:b w:val="1"/>
          <w:bCs w:val="1"/>
        </w:rPr>
        <w:t xml:space="preserve">:</w:t>
      </w:r>
    </w:p>
    <w:p>
      <w:pPr>
        <w:jc w:val="start"/>
      </w:pPr>
      <w:r>
        <w:rPr>
          <w:lang w:val="es-ES"/>
          <w:color w:val="000000"/>
        </w:rPr>
        <w:t xml:space="preserve">Tanto en sus funciones como trabajadora social como en funciones de coordinación la técnico ejerce en exclusividad para el Instituto Municipal de Toxicomanía e Intervención en Áreas sociales del Excmo. Ayto. Gáldar.    </w:t>
      </w:r>
    </w:p>
    <w:p>
      <w:pPr/>
      <w:r>
        <w:rPr/>
        <w:t xml:space="preserve"> </w:t>
      </w:r>
    </w:p>
    <w:p>
      <w:pPr/>
      <w:r>
        <w:rPr>
          <w:lang w:val="es-ES"/>
        </w:rPr>
        <w:t xml:space="preserve">El Estatuto del Instituto Municipal de Toxicomanía e Intervención en su artículo 17 especifica que el ejercicio sera obligatorio y </w:t>
      </w:r>
      <w:r>
        <w:rPr>
          <w:lang w:val="es-ES"/>
          <w:b w:val="1"/>
          <w:bCs w:val="1"/>
        </w:rPr>
        <w:t xml:space="preserve">gratuito, </w:t>
      </w:r>
      <w:r>
        <w:rPr>
          <w:lang w:val="es-ES"/>
        </w:rPr>
        <w:t xml:space="preserve">si permite percibir las dietas que se establezcan en los presupuestos anuales. </w:t>
      </w:r>
      <w:r>
        <w:rPr>
          <w:lang w:val="es-ES"/>
        </w:rPr>
        <w:t xml:space="preserve">No obstante desde su creación no se ha presupuestados dietas por dichos cargos.</w:t>
      </w:r>
      <w:r>
        <w:rPr>
          <w:lang w:val="es-ES"/>
        </w:rPr>
        <w:t xml:space="preserve">En cuanto al gerente se recoge en el artículo 21 del estatuto que puede ser remunerado, siendo el único cargo que consta con derecho a remuneración por su desempeño. </w:t>
      </w:r>
      <w:r>
        <w:rPr>
          <w:lang w:val="es-ES"/>
        </w:rPr>
        <w:t xml:space="preserve">Al no existir dicha figura desde el año 2011 no es necesario presupuestarse. </w:t>
      </w:r>
      <w:r>
        <w:rPr>
          <w:lang w:val="es-ES"/>
        </w:rPr>
        <w:t xml:space="preserve">En los estatutos del Instituto articulo 31 se especifica que pueden recibir remuneración por cargos aquellos miembros de la plantilla que sean nombrados reglamentariamente; nunca se ha tenido en cuenta la remuneración del/la coordinador/a. </w:t>
      </w:r>
      <w:r>
        <w:rPr>
          <w:lang w:val="es-ES"/>
        </w:rPr>
        <w:t xml:space="preserve">La coordinadora de la unidad no percibió remuneración en 2025. - </w:t>
      </w:r>
    </w:p>
    <w:p>
      <w:pPr/>
      <w:r>
        <w:rPr/>
        <w:t xml:space="preserve"> </w:t>
      </w:r>
    </w:p>
    <w:p>
      <w:pPr/>
    </w:p>
    <w:tbl>
      <w:tblGrid>
        <w:gridCol w:w="100950" w:type="dxa"/>
        <w:gridCol w:w="54050" w:type="dxa"/>
        <w:gridCol w:w="48150" w:type="dxa"/>
      </w:tblGrid>
      <w:tblPr>
        <w:tblW w:w="213550" w:type="pct"/>
        <w:tblLayout w:type="autofit"/>
        <w:bidiVisual w:val="0"/>
      </w:tblPr>
      <w:tr>
        <w:trPr>
          <w:tblHeader w:val="1"/>
        </w:trPr>
        <w:tc>
          <w:tcPr>
            <w:tcW w:w="1009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4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135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Órgano de dirección 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23/06/2023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Nombramientos y Funciones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07/01/2025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Certificado Presidente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26/03/2025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Retribuciones, gastos e indemnizaciones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26/03/2025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Órganos de dirección o de administración de la entidad 2024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2026-10-27T09:14:23+00:00</dcterms:created>
  <dcterms:modified xsi:type="dcterms:W3CDTF">2026-10-27T09:14:23+00:00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