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unidades de la entidad son: </w:t>
      </w:r>
    </w:p>
    <w:p>
      <w:pPr/>
      <w:r>
        <w:rPr>
          <w:u w:val="single"/>
        </w:rPr>
        <w:t xml:space="preserve">Funciones y competencia:</w:t>
      </w:r>
    </w:p>
    <w:p>
      <w:pPr>
        <w:jc w:val="both"/>
      </w:pPr>
      <w:r>
        <w:rPr/>
        <w:t xml:space="preserve">- Adaptar el abordaje terapéutico asistencial a la realidad del/de la usuario/a y de su entorno familiar y social.</w:t>
      </w:r>
    </w:p>
    <w:p>
      <w:pPr>
        <w:jc w:val="both"/>
      </w:pPr>
      <w:r>
        <w:rPr/>
        <w:t xml:space="preserve">- Garantizar la atención a las personas adictas y a sus familiares que demandan ayuda o tratamiento en las unidades.</w:t>
      </w:r>
    </w:p>
    <w:p>
      <w:pPr>
        <w:jc w:val="both"/>
      </w:pPr>
      <w:r>
        <w:rPr/>
        <w:t xml:space="preserve">- Desarrollar una intervención biopsicosocial tanto a nivel individual, familiar y social.</w:t>
      </w:r>
    </w:p>
    <w:p>
      <w:pPr>
        <w:jc w:val="both"/>
      </w:pPr>
      <w:r>
        <w:rPr/>
        <w:t xml:space="preserve">- Desarrollo de una oferta terapéutica variada, adecuada a las necesidades de la comunidad, para elevar el nivel de éxitos del tratamiento.</w:t>
      </w:r>
      <w:r>
        <w:rPr/>
        <w:t xml:space="preserve">        </w:t>
      </w:r>
    </w:p>
    <w:p>
      <w:pPr>
        <w:jc w:val="both"/>
      </w:pPr>
      <w:r>
        <w:rPr/>
        <w:t xml:space="preserve">- Conseguir mejorar la calidad de vida del/de la</w:t>
      </w:r>
      <w:r>
        <w:rPr/>
        <w:t xml:space="preserve">  adicto/a y de su entorno más inmediato.</w:t>
      </w:r>
    </w:p>
    <w:p>
      <w:pPr>
        <w:jc w:val="both"/>
      </w:pPr>
      <w:r>
        <w:rPr/>
        <w:t xml:space="preserve">- Reducir la incidencia de alteraciones físicas y mentales relacionadas con el consumo de drogas.</w:t>
      </w:r>
    </w:p>
    <w:p>
      <w:pPr>
        <w:jc w:val="both"/>
      </w:pPr>
      <w:r>
        <w:rPr/>
        <w:t xml:space="preserve">- Reducir la mortalidad asociada al consumo de drogas.</w:t>
      </w:r>
    </w:p>
    <w:p>
      <w:pPr>
        <w:jc w:val="both"/>
      </w:pPr>
      <w:r>
        <w:rPr/>
        <w:t xml:space="preserve">- Coordinación con los recursos específicos de la Red de Recursos en adicciones y con otros recursos normalizados de la comunidad, como los educativos, sanitarios y sociales.</w:t>
      </w:r>
    </w:p>
    <w:p>
      <w:pPr>
        <w:jc w:val="both"/>
      </w:pPr>
      <w:r>
        <w:rPr/>
        <w:t xml:space="preserve">- Potenciar el diagnóstico precoz e intervención temprana en adicciones.</w:t>
      </w:r>
    </w:p>
    <w:p>
      <w:pPr>
        <w:jc w:val="both"/>
      </w:pPr>
      <w:r>
        <w:rPr/>
        <w:t xml:space="preserve">- Potenciación de tratamientos alternativos a las penas de privación de libertad y a las sanciones administrativas, que dificulten el proceso de rehabilitación de los/las pacientes.</w:t>
      </w:r>
    </w:p>
    <w:p>
      <w:pPr>
        <w:jc w:val="both"/>
      </w:pPr>
      <w:r>
        <w:rPr/>
        <w:t xml:space="preserve">- Establecer mecanismos y actuaciones encaminadas a la información y concienciación del problema adictivos en toda la comunidad y sus agentes.</w:t>
      </w:r>
    </w:p>
    <w:p>
      <w:pPr>
        <w:jc w:val="both"/>
      </w:pPr>
      <w:r>
        <w:rPr/>
        <w:t xml:space="preserve">- Promover actuaciones que favorezcan procesos de socialización en aquellos ambientes más desfavorecidos o proclives a situaciones de riesgo.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2026-06-13T22:12:32+00:00</dcterms:created>
  <dcterms:modified xsi:type="dcterms:W3CDTF">2026-06-13T22:12:32+00:00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