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u w:val="single"/>
        </w:rPr>
        <w:t xml:space="preserve">Servicios:</w:t>
      </w:r>
    </w:p>
    <w:p>
      <w:pPr>
        <w:jc w:val="both"/>
      </w:pPr>
      <w:r>
        <w:rPr/>
        <w:t xml:space="preserve">La unidad presta todos aquellos servicios que ayuden a mejorar, normalizar, regular, proteger, prevenir, informar, reestructurar, acompañar, paliar, los efectos de las adicciones, o proteger mediante la prevención el no inicio de las adicciones.</w:t>
      </w:r>
    </w:p>
    <w:p>
      <w:pPr>
        <w:jc w:val="center"/>
      </w:pPr>
      <w:r>
        <w:rPr>
          <w:b w:val="1"/>
          <w:bCs w:val="1"/>
          <w:u w:val="single"/>
        </w:rPr>
        <w:t xml:space="preserve">Área Asistencial</w:t>
      </w:r>
    </w:p>
    <w:p>
      <w:pPr>
        <w:jc w:val="both"/>
      </w:pPr>
      <w:r>
        <w:rPr/>
        <w:t xml:space="preserve">Es el área encargado de prestar los servicios médico-pisco-social y farmacológico-laboratorio a los/las pacientes que solicitan tratamiento y terapia.</w:t>
      </w:r>
    </w:p>
    <w:p>
      <w:pPr>
        <w:pStyle w:val="Heading5"/>
      </w:pPr>
      <w:r>
        <w:rPr>
          <w:i w:val="1"/>
          <w:iCs w:val="1"/>
          <w:u w:val="single"/>
        </w:rPr>
        <w:t xml:space="preserve">1.-Servicio de Farmacia y Laboratorio.</w:t>
      </w:r>
    </w:p>
    <w:p>
      <w:pPr>
        <w:jc w:val="both"/>
      </w:pPr>
      <w:r>
        <w:rPr/>
        <w:t xml:space="preserve">Dentro de dicho servicio de farmacia y laboratorio se cuenta con los siguientes programas que son indispensables para el funcionamiento correcto del servicio, siendo este soporte de los diferentes programas que coexisten en la UAD.:</w:t>
      </w:r>
    </w:p>
    <w:p>
      <w:pPr>
        <w:jc w:val="both"/>
      </w:pPr>
      <w:r>
        <w:rPr/>
        <w:t xml:space="preserve">Es el conjunto de medidas socio-sanitarias individuales y colectivas, dirigidas a minimizar los efectos físicos, psíquicos y sociales negativos asociados al consumo de drogas”. Dicho programa va dirigido a personas con adicción  a  opiáceos, principalmente la heroína.</w:t>
      </w:r>
    </w:p>
    <w:p>
      <w:pPr>
        <w:jc w:val="both"/>
      </w:pPr>
      <w:r>
        <w:rPr/>
        <w:t xml:space="preserve">Es un tratamiento ambulatorio que por sus características, ofrece mejor tolerancia y adherencia al tratamiento, reduciendo la estigmatización del/la  paciente al no acudir a buscar la metadona diaria, proporcionando mayor integración social y favoreciendo su normalización.</w:t>
      </w:r>
    </w:p>
    <w:p>
      <w:pPr>
        <w:jc w:val="both"/>
      </w:pPr>
      <w:r>
        <w:rPr/>
        <w:t xml:space="preserve">Desde hace unos meses hemos visto la necesidad de intensificar  el programa que trabaja coordinado en materia de dispensación y control de tratamientos entre los médicos/as de familia y la unidad, con aquellos/as pacientes  del centro, y con  pacientes derivados de servicios especializados del Servicio Canario de Salud que necesitan un control de su medicación.</w:t>
      </w:r>
    </w:p>
    <w:p>
      <w:pPr>
        <w:jc w:val="both"/>
      </w:pPr>
      <w:r>
        <w:rPr/>
        <w:t xml:space="preserve">Su objetivo es el de mejorar la propuesta de control de tratamiento pautado por los médicos/as de familia y especialistas, con el fin último de controlar y no mal utilizar los medicamentos que el/la paciente debe tomar diariamente, aunque estos no estén relacionados directamente con su toxicología.</w:t>
      </w:r>
    </w:p>
    <w:p>
      <w:pPr>
        <w:jc w:val="both"/>
      </w:pPr>
      <w:r>
        <w:rPr/>
        <w:t xml:space="preserve">Es el programa encargado de recoger, analizar y custodiar las muestras analíticas de los/las pacientes adscritos a la unidad.</w:t>
      </w:r>
    </w:p>
    <w:p>
      <w:pPr>
        <w:jc w:val="both"/>
      </w:pPr>
      <w:r>
        <w:rPr/>
        <w:t xml:space="preserve">En el marco de la campaña para la erradicación del virus de la Hepatitis C en España, se ha formalizado la coordinación directa entre el/la médico/a de la unidad con el Jefe de Hepatología del Hospital Dr. Negrín, para el diagnóstico, tratamiento y seguimiento de los/las pacientes sero- positivos al virus C, evitando el paso por atención primaria y así, minimizar el elevado número de pérdidas de estos/as pacientes dentro del sistema.</w:t>
      </w:r>
    </w:p>
    <w:p>
      <w:pPr>
        <w:jc w:val="both"/>
      </w:pPr>
      <w:r>
        <w:rPr>
          <w:b w:val="1"/>
          <w:bCs w:val="1"/>
        </w:rPr>
        <w:t xml:space="preserve">*</w:t>
      </w:r>
      <w:r>
        <w:rPr/>
        <w:t xml:space="preserve">Protocolo de seguimiento y control de pacientes con Hepatitis y VIH. Desde la unidad y en colaboración con medicina interna del Hospital Dr. Negrín se ha puesto en marcha el acompañamiento y seguimiento de los/las pacientes con VHC+, además de custodia y administración de la medicación. Los/las pacientes son acompañados por los técnicos/as del Programa de Educadores de Calle y trabajadora social de la unidad tanto a las citas programadas (analítica, pruebas complementarias, consultas especializadas) como a la recogida del tratamiento.</w:t>
      </w:r>
    </w:p>
    <w:p>
      <w:pPr>
        <w:jc w:val="both"/>
      </w:pPr>
      <w:r>
        <w:rPr/>
        <w:t xml:space="preserve"> </w:t>
      </w:r>
    </w:p>
    <w:p>
      <w:pPr>
        <w:pStyle w:val="Heading5"/>
      </w:pPr>
      <w:r>
        <w:rPr>
          <w:i w:val="1"/>
          <w:iCs w:val="1"/>
          <w:u w:val="single"/>
        </w:rPr>
        <w:t xml:space="preserve">2.-Servicio de Atención Adultos: Equipo Terapéutico (Médica, Psicóloga, Trabajadora Social.</w:t>
      </w:r>
    </w:p>
    <w:p>
      <w:pPr>
        <w:jc w:val="both"/>
      </w:pPr>
      <w:r>
        <w:rPr/>
        <w:t xml:space="preserve">Es el programa encargado de trabajar con todos los/las pacientes adultos/as de la unidad por medio de citas terapéuticas que pueden ser semanales, quincenales o mensuales. La duración de las citas varia en función de la demanda y diferentes problemas que presente el/la paciente. Sus objetivos son:</w:t>
      </w:r>
    </w:p>
    <w:p>
      <w:pPr>
        <w:jc w:val="both"/>
      </w:pPr>
      <w:r>
        <w:rPr>
          <w:b w:val="1"/>
          <w:bCs w:val="1"/>
          <w:i w:val="1"/>
          <w:iCs w:val="1"/>
        </w:rPr>
        <w:t xml:space="preserve">Objetivos Generales</w:t>
      </w:r>
      <w:r>
        <w:rPr>
          <w:i w:val="1"/>
          <w:iCs w:val="1"/>
        </w:rPr>
        <w:t xml:space="preserve">. </w:t>
      </w:r>
      <w:r>
        <w:rPr/>
        <w:t xml:space="preserve">Los objetivos del centro comarcal se rigen según el catálogo de los servicios asistenciales en las unidades ambulatorias:</w:t>
      </w:r>
    </w:p>
    <w:p>
      <w:pPr>
        <w:jc w:val="both"/>
      </w:pPr>
      <w:r>
        <w:rPr/>
        <w:t xml:space="preserve">- Atender las demandas derivadas del consumo de drogas y otras adicciones, desde un modelo de atención integrada, coordinado con la red sanitaria, servicios sociales y adaptado a las necesidades individuales. Así como orientar y asesorar a familias y usuarios/as.</w:t>
      </w:r>
    </w:p>
    <w:p>
      <w:pPr>
        <w:jc w:val="both"/>
      </w:pPr>
      <w:r>
        <w:rPr/>
        <w:t xml:space="preserve">- Facilitar la desintoxicación, deshabituación y tratamiento con sustitutivos de las personas con problemas de adicción, ofreciéndoles los instrumentos necesarios para ello.</w:t>
      </w:r>
    </w:p>
    <w:p>
      <w:pPr>
        <w:jc w:val="both"/>
      </w:pPr>
      <w:r>
        <w:rPr/>
        <w:t xml:space="preserve">- Favorecer el proceso de maduración personal y social, desarrollando las habilidades necesarias para hacer frente a situaciones de riesgo y su incorporación social.</w:t>
      </w:r>
    </w:p>
    <w:p>
      <w:pPr>
        <w:jc w:val="both"/>
      </w:pPr>
      <w:r>
        <w:rPr/>
        <w:t xml:space="preserve">- Prevenir o reducir la incidencia o severidad de los problemas asociados a la adicción.</w:t>
      </w:r>
    </w:p>
    <w:p>
      <w:pPr>
        <w:jc w:val="both"/>
      </w:pPr>
      <w:r>
        <w:rPr/>
        <w:t xml:space="preserve"> </w:t>
      </w:r>
    </w:p>
    <w:p>
      <w:pPr>
        <w:jc w:val="both"/>
      </w:pPr>
      <w:r>
        <w:rPr>
          <w:b w:val="1"/>
          <w:bCs w:val="1"/>
          <w:i w:val="1"/>
          <w:iCs w:val="1"/>
        </w:rPr>
        <w:t xml:space="preserve">Objetivos específicos.</w:t>
      </w:r>
    </w:p>
    <w:p>
      <w:pPr>
        <w:jc w:val="both"/>
      </w:pPr>
      <w:r>
        <w:rPr/>
        <w:t xml:space="preserve">- Atender la sintomatología del síndrome de abstinencia orgánico.</w:t>
      </w:r>
    </w:p>
    <w:p>
      <w:pPr>
        <w:jc w:val="both"/>
      </w:pPr>
      <w:r>
        <w:rPr/>
        <w:t xml:space="preserve">- Prevenir, detectar y atender la patología orgánica y psiquiátrica asociada a las conductas adictivas.</w:t>
      </w:r>
    </w:p>
    <w:p>
      <w:pPr>
        <w:jc w:val="both"/>
      </w:pPr>
      <w:r>
        <w:rPr/>
        <w:t xml:space="preserve">- Valorar y en su caso incluir en tratamientos sustitutivos a aquellos/as pacientes que lo requieran.</w:t>
      </w:r>
    </w:p>
    <w:p>
      <w:pPr>
        <w:jc w:val="both"/>
      </w:pPr>
      <w:r>
        <w:rPr/>
        <w:t xml:space="preserve">- Fomentar en Educación para la Salud (profilaxis de enfermedades infecto-contagiosas, adquisición de hábitos saludables, …).</w:t>
      </w:r>
    </w:p>
    <w:p>
      <w:pPr>
        <w:jc w:val="both"/>
      </w:pPr>
      <w:r>
        <w:rPr/>
        <w:t xml:space="preserve">- Coordinación telefónica con los diferentes médicos/as de los centros de salud de la zona comarcal y del centro de Salud Mental de Costa Ayala, junto con el hospital sanitario correspondiente, siendo el caso del Hospital Dr. Negrín de Gran Canaria, para valoración de pacientes con patologías diversas.</w:t>
      </w:r>
    </w:p>
    <w:p>
      <w:pPr>
        <w:jc w:val="both"/>
      </w:pPr>
      <w:r>
        <w:rPr/>
        <w:t xml:space="preserve">- Motivar al/la paciente para que tome conciencia del problema, adquiera un compromiso y alcance el deseo de cambio.</w:t>
      </w:r>
    </w:p>
    <w:p>
      <w:pPr>
        <w:jc w:val="both"/>
      </w:pPr>
      <w:r>
        <w:rPr/>
        <w:t xml:space="preserve">- Motivar a la familia o miembros relevantes del/la paciente, a participar en el proceso terapéutico.</w:t>
      </w:r>
    </w:p>
    <w:p>
      <w:pPr>
        <w:jc w:val="both"/>
      </w:pPr>
      <w:r>
        <w:rPr/>
        <w:t xml:space="preserve">- Elaborar con el/la  paciente los objetivos terapéuticos y las estrategias necesarias para alcanzarlos.</w:t>
      </w:r>
    </w:p>
    <w:p>
      <w:pPr>
        <w:jc w:val="both"/>
      </w:pPr>
      <w:r>
        <w:rPr/>
        <w:t xml:space="preserve">- Extinguir actitudes y conductas desadaptativos y enseñar un repertorio de nuevos recursos personales favorecedores de un estilo de vida más saludables.</w:t>
      </w:r>
    </w:p>
    <w:p>
      <w:pPr>
        <w:jc w:val="both"/>
      </w:pPr>
      <w:r>
        <w:rPr/>
        <w:t xml:space="preserve">- Enseñar estrategias para el manejo de la ansiedad y aumento de la autoestima, así como técnicas de autocontrol ante situaciones conflictivas en relación a su adicción.</w:t>
      </w:r>
    </w:p>
    <w:p>
      <w:pPr>
        <w:jc w:val="both"/>
      </w:pPr>
      <w:r>
        <w:rPr/>
        <w:t xml:space="preserve">- Analizar y prevenir posibles recaídas.</w:t>
      </w:r>
    </w:p>
    <w:p>
      <w:pPr>
        <w:jc w:val="both"/>
      </w:pPr>
      <w:r>
        <w:rPr/>
        <w:t xml:space="preserve">- Conocer y orientar en aspectos educativos, formativos, prestaciones sociales, vivienda, judiciales y sociolaborables para promover la normalización social mediante la integración del paciente.</w:t>
      </w:r>
    </w:p>
    <w:p>
      <w:pPr>
        <w:jc w:val="both"/>
      </w:pPr>
      <w:r>
        <w:rPr/>
        <w:t xml:space="preserve">- Intervenir durante el proceso terapéutico en todas aquellas circunstancias judiciales, administrativas, económicas y sociolaborables que puedan afectar al mismo.</w:t>
      </w:r>
    </w:p>
    <w:p>
      <w:pPr>
        <w:jc w:val="both"/>
      </w:pPr>
      <w:r>
        <w:rPr/>
        <w:t xml:space="preserve">- Seguimiento en coordinación con el resto del equipo, de los objetivos terapéuticos y metas propuestas con el/la paciente y su familia.</w:t>
      </w:r>
    </w:p>
    <w:p>
      <w:pPr>
        <w:jc w:val="both"/>
      </w:pPr>
      <w:r>
        <w:rPr/>
        <w:t xml:space="preserve">- Exploración de la dinámica familiar y su entorno para el conocimiento, detección e intervención ante situaciones de riesgo y/o daño.</w:t>
      </w:r>
    </w:p>
    <w:p>
      <w:pPr>
        <w:jc w:val="both"/>
      </w:pPr>
      <w:r>
        <w:rPr/>
        <w:t xml:space="preserve"> </w:t>
      </w:r>
    </w:p>
    <w:p>
      <w:pPr>
        <w:pStyle w:val="Heading5"/>
      </w:pPr>
      <w:r>
        <w:rPr/>
        <w:t xml:space="preserve">3.-Programa de Causas Judiciales (Trabajadora Social)</w:t>
      </w:r>
    </w:p>
    <w:p>
      <w:pPr>
        <w:jc w:val="both"/>
      </w:pPr>
      <w:r>
        <w:rPr/>
        <w:t xml:space="preserve">Los contenidos a trabajar dentro del programa son aquellos que lleven a la consecución de la normalización de aquellos/as pacientes adictivos con situaciones judiciales en curso, con cumplimientos alternativos, seguimiento de pacientes internos/as en prisión con salidas programadas,...</w:t>
      </w:r>
    </w:p>
    <w:p>
      <w:pPr>
        <w:jc w:val="both"/>
      </w:pPr>
      <w:r>
        <w:rPr/>
        <w:t xml:space="preserve">Gran parte de estos/as pacientes suelen presentar una trayectoria marcada por las continuas salidas y entradas de prisión o la acumulación de pequeños delitos como forma normal de subsistencia. Ven como algo común este tipo de situación y si no se les da una respuesta adecuada por medio del trabajo de las relaciones familiares, de una reinserción social y laboral, continuarán dentro de esta espiral.</w:t>
      </w:r>
    </w:p>
    <w:p>
      <w:pPr>
        <w:jc w:val="both"/>
      </w:pPr>
      <w:r>
        <w:rPr/>
        <w:t xml:space="preserve"> </w:t>
      </w:r>
    </w:p>
    <w:p>
      <w:pPr>
        <w:pStyle w:val="Heading5"/>
      </w:pPr>
      <w:r>
        <w:rPr/>
        <w:t xml:space="preserve">4.-Programa de Reinserción Laboral (Trabajadora Social).</w:t>
      </w:r>
    </w:p>
    <w:p>
      <w:pPr>
        <w:jc w:val="both"/>
      </w:pPr>
      <w:r>
        <w:rPr/>
        <w:t xml:space="preserve">Al tratarse de un programa ambulatorio orientado, no al tratamiento de la adicción, sino a la inserción laboral de personas que se encuentren realizando un programa de deshabituación de drogas en entidades oficiales los contenidos tienen que ser concretados a la búsqueda de empleo activa.</w:t>
      </w:r>
    </w:p>
    <w:p>
      <w:pPr>
        <w:jc w:val="both"/>
      </w:pPr>
      <w:r>
        <w:rPr/>
        <w:t xml:space="preserve">Las actividades a realizar son:</w:t>
      </w:r>
    </w:p>
    <w:p>
      <w:pPr>
        <w:jc w:val="both"/>
      </w:pPr>
      <w:r>
        <w:rPr/>
        <w:t xml:space="preserve">- Acompañamiento social.</w:t>
      </w:r>
    </w:p>
    <w:p>
      <w:pPr>
        <w:jc w:val="both"/>
      </w:pPr>
      <w:r>
        <w:rPr/>
        <w:t xml:space="preserve">- Intervención habilitadora, rehabilitadora, educativa o formativa especificas sobre determinadas habilidades o competencias sobre temas laborales. Realización del currículum.</w:t>
      </w:r>
    </w:p>
    <w:p>
      <w:pPr>
        <w:jc w:val="both"/>
      </w:pPr>
      <w:r>
        <w:rPr/>
        <w:t xml:space="preserve">- Información y asesoramiento en materia de empleo.</w:t>
      </w:r>
    </w:p>
    <w:p>
      <w:pPr>
        <w:jc w:val="both"/>
      </w:pPr>
      <w:r>
        <w:rPr/>
        <w:t xml:space="preserve">- Apoyo psico- terapéutico.</w:t>
      </w:r>
    </w:p>
    <w:p>
      <w:pPr>
        <w:jc w:val="both"/>
      </w:pPr>
      <w:r>
        <w:rPr/>
        <w:t xml:space="preserve">- Coordinación con las entidades que sobre empleo existan en la zona y con las empresas de la comarca.</w:t>
      </w:r>
    </w:p>
    <w:p>
      <w:pPr>
        <w:jc w:val="both"/>
      </w:pPr>
      <w:r>
        <w:rPr/>
        <w:t xml:space="preserve"> </w:t>
      </w:r>
    </w:p>
    <w:p>
      <w:pPr>
        <w:pStyle w:val="Heading5"/>
      </w:pPr>
      <w:r>
        <w:rPr/>
        <w:t xml:space="preserve"> 5.-Programa de Sanciones Administrativas (Trabajadoras Social)</w:t>
      </w:r>
    </w:p>
    <w:p>
      <w:pPr>
        <w:jc w:val="both"/>
      </w:pPr>
      <w:r>
        <w:rPr/>
        <w:t xml:space="preserve">Básicamente el programa contempla dar respuesta a un tipo de paciente que, si bien no llega a presentar una problemática judicial, desarrolla su actividad de consumos de cara a la sociedad.</w:t>
      </w:r>
    </w:p>
    <w:p>
      <w:pPr>
        <w:jc w:val="both"/>
      </w:pPr>
      <w:r>
        <w:rPr/>
        <w:t xml:space="preserve">El contenido prioritario es satisfacer en la medida de lo posible la cobertura de su sanción, pero sobre todo concienciar de la necesidad de tratamiento y abstinencia ante un hábito pernicioso.</w:t>
      </w:r>
    </w:p>
    <w:p>
      <w:pPr>
        <w:jc w:val="both"/>
      </w:pPr>
      <w:r>
        <w:rPr/>
        <w:t xml:space="preserve">Las actividades que se realizan son:</w:t>
      </w:r>
    </w:p>
    <w:p>
      <w:pPr>
        <w:jc w:val="both"/>
      </w:pPr>
      <w:r>
        <w:rPr/>
        <w:t xml:space="preserve">- Acogida.</w:t>
      </w:r>
    </w:p>
    <w:p>
      <w:pPr>
        <w:jc w:val="both"/>
      </w:pPr>
      <w:r>
        <w:rPr/>
        <w:t xml:space="preserve">- Seguimiento terapéutico quincenal.</w:t>
      </w:r>
    </w:p>
    <w:p>
      <w:pPr>
        <w:jc w:val="both"/>
      </w:pPr>
      <w:r>
        <w:rPr/>
        <w:t xml:space="preserve">- Terapias individuales a nivel social.</w:t>
      </w:r>
    </w:p>
    <w:p>
      <w:pPr>
        <w:jc w:val="both"/>
      </w:pPr>
      <w:r>
        <w:rPr/>
        <w:t xml:space="preserve">- Citas programadas.</w:t>
      </w:r>
    </w:p>
    <w:p>
      <w:pPr>
        <w:jc w:val="both"/>
      </w:pPr>
      <w:r>
        <w:rPr/>
        <w:t xml:space="preserve">- Realización de informes.</w:t>
      </w:r>
    </w:p>
    <w:p>
      <w:pPr>
        <w:jc w:val="both"/>
      </w:pPr>
      <w:r>
        <w:rPr/>
        <w:t xml:space="preserve">- Coordinación con la Subdelegación del Gobierno.</w:t>
      </w:r>
    </w:p>
    <w:p>
      <w:pPr>
        <w:jc w:val="both"/>
      </w:pPr>
      <w:r>
        <w:rPr/>
        <w:t xml:space="preserve">- Charlas informativas en aquellos centros o entidades que lo requieran sobre los problemas de las drogas.</w:t>
      </w:r>
    </w:p>
    <w:p>
      <w:pPr>
        <w:jc w:val="both"/>
      </w:pPr>
      <w:r>
        <w:rPr/>
        <w:t xml:space="preserve">En 2024 esta destinado exclusivamente a menores con problemas de adicción, según ordena ley de Seguridad Ciudadana, Ley Orgánica 4/2015, de 30 de Marzo.</w:t>
      </w:r>
    </w:p>
    <w:p>
      <w:pPr>
        <w:jc w:val="both"/>
      </w:pPr>
      <w:r>
        <w:rPr/>
        <w:t xml:space="preserve"> </w:t>
      </w:r>
    </w:p>
    <w:p>
      <w:pPr>
        <w:pStyle w:val="Heading5"/>
      </w:pPr>
      <w:r>
        <w:rPr/>
        <w:t xml:space="preserve">6.- Programa Social (Trabajadora Social)</w:t>
      </w:r>
    </w:p>
    <w:p>
      <w:pPr>
        <w:jc w:val="both"/>
      </w:pPr>
      <w:r>
        <w:rPr/>
        <w:t xml:space="preserve">Desde el área social de la unidad se continuó durante el año 2024 con el Programa COPUERCA. El Proyecto COPUERCA (construyendo puentes para una educación de calidad), nace como iniciativa de las Concejalías de Educación y Toxicomanías del Ayuntamiento de Gáldar. Se vertebra bajo el paragüas del marco a que se acoge este municipio como CIUDAD EDUCADORA.</w:t>
      </w:r>
    </w:p>
    <w:p>
      <w:pPr>
        <w:jc w:val="both"/>
      </w:pPr>
      <w:r>
        <w:rPr/>
        <w:t xml:space="preserve">En el año 2024 se siguió estructurando el proyecto en dos partes: Talleres Socio Educativos Y Talleres de Competencia Social y Desarrollo Personal ofertados a toda la ciudadanía de los municipios de Santa María de Guía, Gáldar y Agaete que desearan acudir.</w:t>
      </w:r>
    </w:p>
    <w:p>
      <w:pPr>
        <w:jc w:val="both"/>
      </w:pPr>
      <w:r>
        <w:rPr/>
        <w:t xml:space="preserve"> </w:t>
      </w:r>
    </w:p>
    <w:p>
      <w:pPr>
        <w:pStyle w:val="Heading5"/>
      </w:pPr>
      <w:r>
        <w:rPr/>
        <w:t xml:space="preserve"> 7.-Programa de Patología Dual (Médico).</w:t>
      </w:r>
    </w:p>
    <w:p>
      <w:pPr>
        <w:jc w:val="both"/>
      </w:pPr>
      <w:r>
        <w:rPr/>
        <w:t xml:space="preserve">Hay pacientes que precisa de un proceso terapéutico más estrecho en el que al/la paciente se le trata por la dependencia y por la enfermedad mental comórbida; precisando coordinación con la unidad de salud mental correspondiente, para asegurar un abordaje multidisciplinar.</w:t>
      </w:r>
    </w:p>
    <w:p>
      <w:pPr>
        <w:jc w:val="both"/>
      </w:pPr>
      <w:r>
        <w:rPr>
          <w:i w:val="1"/>
          <w:iCs w:val="1"/>
        </w:rPr>
        <w:t xml:space="preserve">Objetivo General:</w:t>
      </w:r>
      <w:r>
        <w:rPr/>
        <w:t xml:space="preserve"> Dar tratamiento médico-psico-social a los/las pacientes con patología dual.</w:t>
      </w:r>
    </w:p>
    <w:p>
      <w:pPr>
        <w:jc w:val="both"/>
      </w:pPr>
      <w:r>
        <w:rPr>
          <w:i w:val="1"/>
          <w:iCs w:val="1"/>
        </w:rPr>
        <w:t xml:space="preserve">Objetivos Específicos</w:t>
      </w:r>
      <w:r>
        <w:rPr/>
        <w:t xml:space="preserve">: realizar tratamientos individualizados tanto a nivel adictivo como psiquiátrico y coordinación con los centros de salud mental.</w:t>
      </w:r>
    </w:p>
    <w:p>
      <w:pPr>
        <w:jc w:val="both"/>
      </w:pPr>
      <w:r>
        <w:rPr/>
        <w:t xml:space="preserve"> </w:t>
      </w:r>
    </w:p>
    <w:p>
      <w:pPr>
        <w:pStyle w:val="Heading5"/>
      </w:pPr>
      <w:r>
        <w:rPr/>
        <w:t xml:space="preserve"> 8.- Programa de Ludopatía (Psicóloga ).</w:t>
      </w:r>
    </w:p>
    <w:p>
      <w:pPr>
        <w:jc w:val="both"/>
      </w:pPr>
      <w:r>
        <w:rPr/>
        <w:t xml:space="preserve">Es el programa encargado de trabajar con pacientes con adicción al juego, en todas sus formas y ambiente. Hay que tener en cuenta que a veces el trabajo con el/la paciente de ludopatía es dual pues puede ocurrir que existas otras dependencias.</w:t>
      </w:r>
    </w:p>
    <w:p>
      <w:pPr>
        <w:jc w:val="both"/>
      </w:pPr>
      <w:r>
        <w:rPr/>
        <w:t xml:space="preserve">El tratamiento que empleamos es:</w:t>
      </w:r>
    </w:p>
    <w:p>
      <w:pPr>
        <w:jc w:val="both"/>
      </w:pPr>
      <w:r>
        <w:rPr/>
        <w:t xml:space="preserve">- Técnicas de control de estímulo, evitación de lugares, compañías y actividades relacionados con el juego y un control estricto con el dinero.</w:t>
      </w:r>
    </w:p>
    <w:p>
      <w:pPr>
        <w:jc w:val="both"/>
      </w:pPr>
      <w:r>
        <w:rPr/>
        <w:t xml:space="preserve">- Las técnicas de terapia cognitiva, así como existe pensamientos irracionales y distorsiones cognitivas, también aplicamos técnicas de reestructuración cognitiva.</w:t>
      </w:r>
    </w:p>
    <w:p>
      <w:pPr>
        <w:jc w:val="both"/>
      </w:pPr>
      <w:r>
        <w:rPr/>
        <w:t xml:space="preserve">- Desde la unidad se está ayudando a los/as pacientes para que la recuperación del estado de salud y bienestar sea completo.</w:t>
      </w:r>
    </w:p>
    <w:p>
      <w:pPr>
        <w:jc w:val="both"/>
      </w:pPr>
      <w:r>
        <w:rPr/>
        <w:t xml:space="preserve">- Contribuir a que se reintegre nuevamente en el ámbito laboral y social.</w:t>
      </w:r>
    </w:p>
    <w:p>
      <w:pPr>
        <w:jc w:val="both"/>
      </w:pPr>
      <w:r>
        <w:rPr/>
        <w:t xml:space="preserve">- Estar al tanto de las posibles cuestiones legales.</w:t>
      </w:r>
    </w:p>
    <w:p>
      <w:pPr>
        <w:jc w:val="both"/>
      </w:pPr>
      <w:r>
        <w:rPr/>
        <w:t xml:space="preserve">- Seguimiento individual cada 15 días.</w:t>
      </w:r>
    </w:p>
    <w:p>
      <w:pPr>
        <w:jc w:val="both"/>
      </w:pPr>
      <w:r>
        <w:rPr/>
        <w:t xml:space="preserve">- Seguimiento familiar.</w:t>
      </w:r>
    </w:p>
    <w:p>
      <w:pPr>
        <w:jc w:val="both"/>
      </w:pPr>
      <w:r>
        <w:rPr/>
        <w:t xml:space="preserve">El trabajo terapéutico está orientado a tratar la conducta e intentar comprender su funcionamiento.</w:t>
      </w:r>
    </w:p>
    <w:p>
      <w:pPr>
        <w:jc w:val="both"/>
      </w:pPr>
      <w:r>
        <w:rPr/>
        <w:t xml:space="preserve"> </w:t>
      </w:r>
    </w:p>
    <w:p>
      <w:pPr>
        <w:pStyle w:val="Heading5"/>
      </w:pPr>
      <w:r>
        <w:rPr>
          <w:i w:val="1"/>
          <w:iCs w:val="1"/>
          <w:u w:val="single"/>
        </w:rPr>
        <w:t xml:space="preserve">9.-Servicio de Atención Menores: Equipo de Menores y Taller.</w:t>
      </w:r>
    </w:p>
    <w:p>
      <w:pPr>
        <w:jc w:val="both"/>
      </w:pPr>
      <w:r>
        <w:rPr/>
        <w:t xml:space="preserve">Es el programa que se encarga de trabajar con menores que presenta problemas adictivos tanto sea por consumos de drogas como por adicciones comportamentales. El programa trabaja con menores de entre 14 a 21 años, aunque si se diera el caso evaluado por los servicios pertinentes de menores con edades inferiores a 14 años con adicciones también se acogería a dichos usuarios.</w:t>
      </w:r>
    </w:p>
    <w:p>
      <w:pPr>
        <w:jc w:val="both"/>
      </w:pPr>
      <w:r>
        <w:rPr/>
        <w:t xml:space="preserve">Los objetivos del programa son:</w:t>
      </w:r>
    </w:p>
    <w:p>
      <w:pPr>
        <w:jc w:val="both"/>
      </w:pPr>
      <w:r>
        <w:rPr/>
        <w:t xml:space="preserve">-Trabajar con el/la menor a nivel individual para conocer sus expectativas con respecto a su futuro.</w:t>
      </w:r>
    </w:p>
    <w:p>
      <w:pPr>
        <w:jc w:val="both"/>
      </w:pPr>
      <w:r>
        <w:rPr/>
        <w:t xml:space="preserve">-Trabajar terapias de grupo con los/las menores integrantes del programa.</w:t>
      </w:r>
    </w:p>
    <w:p>
      <w:pPr>
        <w:jc w:val="both"/>
      </w:pPr>
      <w:r>
        <w:rPr/>
        <w:t xml:space="preserve">-Trabajar con las familias y los/las menores de manera periódica en sesiones familiares.</w:t>
      </w:r>
    </w:p>
    <w:p>
      <w:pPr>
        <w:jc w:val="both"/>
      </w:pPr>
      <w:r>
        <w:rPr/>
        <w:t xml:space="preserve">-Disminuir o eliminar el uso de conductas adictivas.</w:t>
      </w:r>
    </w:p>
    <w:p>
      <w:pPr>
        <w:jc w:val="both"/>
      </w:pPr>
      <w:r>
        <w:rPr/>
        <w:t xml:space="preserve">-Suprimir el uso de sustancias adictivas.</w:t>
      </w:r>
    </w:p>
    <w:p>
      <w:pPr>
        <w:jc w:val="both"/>
      </w:pPr>
      <w:r>
        <w:rPr/>
        <w:t xml:space="preserve">-Prevenir recaídas, trabajar la reinserción laboral y escolar por medio de talleres de formación.</w:t>
      </w:r>
    </w:p>
    <w:p>
      <w:pPr>
        <w:jc w:val="both"/>
      </w:pPr>
      <w:r>
        <w:rPr/>
        <w:t xml:space="preserve">-Trabajar la ocupación y mejora del tiempo libre por medio de actividades lúdicas.</w:t>
      </w:r>
    </w:p>
    <w:p>
      <w:pPr>
        <w:jc w:val="both"/>
      </w:pPr>
      <w:r>
        <w:rPr/>
        <w:t xml:space="preserve">-Trabajar el cuidado y la mejora física por medio de actividades deportivas.</w:t>
      </w:r>
    </w:p>
    <w:p>
      <w:pPr>
        <w:jc w:val="both"/>
      </w:pPr>
      <w:r>
        <w:rPr/>
        <w:t xml:space="preserve">-Trabajar el desarrollo emocional y psíquico por medio de terapias psicológicas.</w:t>
      </w:r>
    </w:p>
    <w:p>
      <w:pPr>
        <w:jc w:val="both"/>
      </w:pPr>
      <w:r>
        <w:rPr/>
        <w:t xml:space="preserve">-Establecer canales de comunicación y coordinación con colegios, institutos, asociaciones del barrio, servicios sociales,…</w:t>
      </w:r>
    </w:p>
    <w:p>
      <w:pPr>
        <w:jc w:val="both"/>
      </w:pPr>
      <w:r>
        <w:rPr/>
        <w:t xml:space="preserve">-Promover la derivación a recursos formativos específicos.</w:t>
      </w:r>
    </w:p>
    <w:p>
      <w:pPr>
        <w:jc w:val="both"/>
      </w:pPr>
      <w:r>
        <w:rPr/>
        <w:t xml:space="preserve">-Integración escolar y una mejora del rendimiento de los/las menores escolarizados.</w:t>
      </w:r>
    </w:p>
    <w:p>
      <w:pPr>
        <w:jc w:val="both"/>
      </w:pPr>
      <w:r>
        <w:rPr/>
        <w:t xml:space="preserve">-Educar en la convivencia, el respeto y la tolerancia.</w:t>
      </w:r>
    </w:p>
    <w:p>
      <w:pPr>
        <w:jc w:val="both"/>
      </w:pPr>
      <w:r>
        <w:rPr/>
        <w:t xml:space="preserve">-Propiciar el desarrollo de las habilidades sociales y personales.</w:t>
      </w:r>
    </w:p>
    <w:p>
      <w:pPr>
        <w:jc w:val="both"/>
      </w:pPr>
      <w:r>
        <w:rPr/>
        <w:t xml:space="preserve">-Apoyo escolar, formación y orientación laboral.</w:t>
      </w:r>
    </w:p>
    <w:p>
      <w:pPr>
        <w:jc w:val="both"/>
      </w:pPr>
      <w:r>
        <w:rPr/>
        <w:t xml:space="preserve">-Desarrollo personal y social.</w:t>
      </w:r>
    </w:p>
    <w:p>
      <w:pPr>
        <w:jc w:val="both"/>
      </w:pPr>
      <w:r>
        <w:rPr/>
        <w:t xml:space="preserve">-Trabajar en valores de realización personal (autocontrol, autoestima, autoconcepto, autorregulación, por medio de sesiones individuales, video forum, sesiones grupales, sesiones familiares, entre otras).</w:t>
      </w:r>
    </w:p>
    <w:p>
      <w:pPr>
        <w:jc w:val="both"/>
      </w:pPr>
      <w:r>
        <w:rPr/>
        <w:t xml:space="preserve">-Aumento de la autoestima, por medio de sesiones individuales, video forum, sesiones grupales, sesiones familiares,...</w:t>
      </w:r>
    </w:p>
    <w:p>
      <w:pPr>
        <w:jc w:val="both"/>
      </w:pPr>
      <w:r>
        <w:rPr/>
        <w:t xml:space="preserve">-Incremento de la capacidad para adquirir responsabilidades.</w:t>
      </w:r>
    </w:p>
    <w:p>
      <w:pPr>
        <w:jc w:val="both"/>
      </w:pPr>
      <w:r>
        <w:rPr/>
        <w:t xml:space="preserve">-Aumento de la autonomía y el sentido de la responsabilidad en el mantenimiento de la salud.</w:t>
      </w:r>
    </w:p>
    <w:p>
      <w:pPr>
        <w:jc w:val="both"/>
      </w:pPr>
      <w:r>
        <w:rPr/>
        <w:t xml:space="preserve">- Identificación y/o valoración de las habilidades para la toma de decisiones y la resolución de problemas individuales y grupales.</w:t>
      </w:r>
    </w:p>
    <w:p>
      <w:pPr>
        <w:jc w:val="both"/>
      </w:pPr>
      <w:r>
        <w:rPr/>
        <w:t xml:space="preserve">-Desarrollo de la asertividad.</w:t>
      </w:r>
    </w:p>
    <w:p>
      <w:pPr>
        <w:jc w:val="both"/>
      </w:pPr>
      <w:r>
        <w:rPr/>
        <w:t xml:space="preserve">-Favorecer la autonomía personal frente al grupo.</w:t>
      </w:r>
    </w:p>
    <w:p>
      <w:pPr>
        <w:jc w:val="both"/>
      </w:pPr>
      <w:r>
        <w:rPr/>
        <w:t xml:space="preserve">-Facilitar los procesos de integración grupal.</w:t>
      </w:r>
    </w:p>
    <w:p>
      <w:pPr>
        <w:jc w:val="both"/>
      </w:pPr>
      <w:r>
        <w:rPr/>
        <w:t xml:space="preserve">-Mejorar la capacidad para la toma de decisiones y resolución de problemas (en grupo).</w:t>
      </w:r>
    </w:p>
    <w:p>
      <w:pPr>
        <w:jc w:val="both"/>
      </w:pPr>
      <w:r>
        <w:rPr/>
        <w:t xml:space="preserve">-Fomentar actividades de ocio y tiempo libre.</w:t>
      </w:r>
    </w:p>
    <w:p>
      <w:pPr>
        <w:jc w:val="both"/>
      </w:pPr>
      <w:r>
        <w:rPr/>
        <w:t xml:space="preserve">-Identificar los gustos y aficiones.</w:t>
      </w:r>
    </w:p>
    <w:p>
      <w:pPr>
        <w:jc w:val="both"/>
      </w:pPr>
      <w:r>
        <w:rPr/>
        <w:t xml:space="preserve">-Desarrollar la capacidad de participación y asociación.</w:t>
      </w:r>
    </w:p>
    <w:p>
      <w:pPr>
        <w:jc w:val="both"/>
      </w:pPr>
      <w:r>
        <w:rPr/>
        <w:t xml:space="preserve">-Favorecer un discurso alternativo al consumo de drogas.</w:t>
      </w:r>
    </w:p>
    <w:p>
      <w:pPr>
        <w:jc w:val="both"/>
      </w:pPr>
      <w:r>
        <w:rPr/>
        <w:t xml:space="preserve">-Activar programas de apoyo familiar.</w:t>
      </w:r>
    </w:p>
    <w:p>
      <w:pPr>
        <w:jc w:val="both"/>
      </w:pPr>
      <w:r>
        <w:rPr/>
        <w:t xml:space="preserve">-Desmontar comportamientos y/o rutinas adquiridas basados en el consumismo.</w:t>
      </w:r>
    </w:p>
    <w:p>
      <w:pPr>
        <w:jc w:val="both"/>
      </w:pPr>
      <w:r>
        <w:rPr/>
        <w:t xml:space="preserve">-Facilitar los procesos de participación y democratización.</w:t>
      </w:r>
    </w:p>
    <w:p>
      <w:pPr>
        <w:jc w:val="both"/>
      </w:pPr>
      <w:r>
        <w:rPr/>
        <w:t xml:space="preserve">-Ayudar a la identificación de valores y creencias.</w:t>
      </w:r>
    </w:p>
    <w:p>
      <w:pPr>
        <w:jc w:val="both"/>
      </w:pPr>
      <w:r>
        <w:rPr/>
        <w:t xml:space="preserve">-Favorecer programas de participación en la comunidad.</w:t>
      </w:r>
    </w:p>
    <w:p>
      <w:pPr>
        <w:jc w:val="both"/>
      </w:pPr>
      <w:r>
        <w:rPr/>
        <w:t xml:space="preserve">-Trabajar con técnicas de grupo: autocontrol y autoestima.</w:t>
      </w:r>
    </w:p>
    <w:p>
      <w:pPr>
        <w:jc w:val="both"/>
      </w:pPr>
      <w:r>
        <w:rPr/>
        <w:t xml:space="preserve">-Trabajar el diálogo y los debates.</w:t>
      </w:r>
    </w:p>
    <w:p>
      <w:pPr>
        <w:jc w:val="both"/>
      </w:pPr>
      <w:r>
        <w:rPr/>
        <w:t xml:space="preserve">-Dar a conocer las normas de convivencia básicas.</w:t>
      </w:r>
    </w:p>
    <w:p>
      <w:pPr>
        <w:jc w:val="both"/>
      </w:pPr>
      <w:r>
        <w:rPr/>
        <w:t xml:space="preserve">-Favorecer la actitud de compromiso para realizar sus propias normas.</w:t>
      </w:r>
    </w:p>
    <w:p>
      <w:pPr>
        <w:jc w:val="both"/>
      </w:pPr>
      <w:r>
        <w:rPr/>
        <w:t xml:space="preserve"> </w:t>
      </w:r>
    </w:p>
    <w:p>
      <w:pPr>
        <w:jc w:val="center"/>
      </w:pPr>
      <w:r>
        <w:rPr>
          <w:b w:val="1"/>
          <w:bCs w:val="1"/>
          <w:u w:val="single"/>
        </w:rPr>
        <w:t xml:space="preserve">Área Preventiva</w:t>
      </w:r>
    </w:p>
    <w:p>
      <w:pPr>
        <w:jc w:val="both"/>
      </w:pPr>
      <w:r>
        <w:rPr/>
        <w:t xml:space="preserve">Es el área encargado de trabajar la educación preventiva en materia de adicciones, tanto a nivel educativo como comunitario.</w:t>
      </w:r>
    </w:p>
    <w:p>
      <w:pPr>
        <w:jc w:val="both"/>
      </w:pPr>
      <w:r>
        <w:rPr>
          <w:u w:val="single"/>
        </w:rPr>
        <w:t xml:space="preserve">1.- Equipo de Prevención.</w:t>
      </w:r>
    </w:p>
    <w:p>
      <w:pPr>
        <w:jc w:val="both"/>
      </w:pPr>
      <w:r>
        <w:rPr/>
        <w:t xml:space="preserve">El Programa de Prevención de Adicciones, del Instituto Municipal de Toxicomanías e Intervención en Áreas Sociales del Excmo. Ayuntamiento de Gáldar trabaja a nivel educativo el desarrollo de programas de prevención en adicciones  tanto en el ámbito escolar, familia como ocio y tiempo libre en educación. El programa abarca no solo los centros educativos del municipio de Gáldar sino también aquellos ubicados en el Municipio de Santa María de Guía y Agaete.</w:t>
      </w:r>
    </w:p>
    <w:p>
      <w:pPr>
        <w:jc w:val="both"/>
      </w:pPr>
      <w:r>
        <w:rPr/>
        <w:t xml:space="preserve">El programa es multidisciplinar al abarcar todas aquellas áreas y actividades que nuestra sociedad demanda a fin de concienciar y trabajar la problemática de las adicciones dentro de las medidas preventivas existentes.</w:t>
      </w:r>
    </w:p>
    <w:p>
      <w:pPr>
        <w:jc w:val="both"/>
      </w:pPr>
      <w:r>
        <w:rPr>
          <w:i w:val="1"/>
          <w:iCs w:val="1"/>
        </w:rPr>
        <w:t xml:space="preserve">Ámbitos de Trabajo:</w:t>
      </w:r>
    </w:p>
    <w:p>
      <w:pPr>
        <w:jc w:val="both"/>
      </w:pPr>
      <w:r>
        <w:rPr/>
        <w:t xml:space="preserve">- CEIP (primaria)</w:t>
      </w:r>
    </w:p>
    <w:p>
      <w:pPr>
        <w:jc w:val="both"/>
      </w:pPr>
      <w:r>
        <w:rPr/>
        <w:t xml:space="preserve">- IES (secundaria).</w:t>
      </w:r>
    </w:p>
    <w:p>
      <w:pPr>
        <w:jc w:val="both"/>
      </w:pPr>
      <w:r>
        <w:rPr/>
        <w:t xml:space="preserve">- CERs (centros rurales, medianías).</w:t>
      </w:r>
    </w:p>
    <w:p>
      <w:pPr>
        <w:jc w:val="both"/>
      </w:pPr>
      <w:r>
        <w:rPr/>
        <w:t xml:space="preserve">- Formación Profesional Básica.</w:t>
      </w:r>
    </w:p>
    <w:p>
      <w:pPr>
        <w:jc w:val="both"/>
      </w:pPr>
      <w:r>
        <w:rPr/>
        <w:t xml:space="preserve">- Ciclos Formativos.</w:t>
      </w:r>
    </w:p>
    <w:p>
      <w:pPr>
        <w:jc w:val="both"/>
      </w:pPr>
      <w:r>
        <w:rPr/>
        <w:t xml:space="preserve">- Bachilleratos.</w:t>
      </w:r>
    </w:p>
    <w:p>
      <w:pPr>
        <w:jc w:val="both"/>
      </w:pPr>
      <w:r>
        <w:rPr/>
        <w:t xml:space="preserve">- Escuela de Adultos.</w:t>
      </w:r>
    </w:p>
    <w:p>
      <w:pPr>
        <w:jc w:val="both"/>
      </w:pPr>
      <w:r>
        <w:rPr/>
        <w:t xml:space="preserve">La población destinataria de el programa es el colectivo educativo en su totalidad es decir: Niños/niñas, Profesores/as,  Adolescentes, Directores/as, Subdirectores/as, Jefes estudios, Orientadores/as, Responsables de Área Salud de los centros educativos.</w:t>
      </w:r>
    </w:p>
    <w:p>
      <w:pPr>
        <w:jc w:val="both"/>
      </w:pPr>
      <w:r>
        <w:rPr>
          <w:u w:val="single"/>
        </w:rPr>
        <w:t xml:space="preserve">2.- Equipo de Educadores de Calle.</w:t>
      </w:r>
    </w:p>
    <w:p>
      <w:pPr>
        <w:jc w:val="both"/>
      </w:pPr>
      <w:r>
        <w:rPr/>
        <w:t xml:space="preserve">El programa de Educadores de Calle  dar respuesta a situaciones de la población infanto-juvenil, mayores en situación de vulnerabilidad, población con bajos recursos, población en situación de exclusión social, familiar, económica... que reside en barrios con alto/medio y bajo nivel de exclusión de los municipios de Santa María de Guía, Gáldar y Agaete que sean susceptibles de caer en la problemática adictiva.</w:t>
      </w:r>
    </w:p>
    <w:p>
      <w:pPr>
        <w:jc w:val="both"/>
      </w:pPr>
      <w:r>
        <w:rPr/>
        <w:t xml:space="preserve">Desde dicho programa, se asumen los siguientes criterios de trabajo: educación en valores, crecimiento y desarrollo personal, participación comunitaria, coordinación y cooperación con entidades, servicios, organismos e instituciones que puedan apoyar a las personas en sus ciclos de vida, etc.; entendiendo que nuestra acción tiene una vocación claramente preventiva, insistiéndose en evitar situaciones de riesgo y acompañando en los proyectos de vida, a los jóvenes y sus grupos de referencia, de acompañamiento y re afirmación en la población mayor, así como en la integración y apoyo en la población de alto riesgo y exclusión.</w:t>
      </w:r>
    </w:p>
    <w:p>
      <w:pPr>
        <w:jc w:val="both"/>
      </w:pPr>
      <w:r>
        <w:rPr>
          <w:i w:val="1"/>
          <w:iCs w:val="1"/>
        </w:rPr>
        <w:t xml:space="preserve">Ámbito de Trabajo:</w:t>
      </w:r>
    </w:p>
    <w:p>
      <w:pPr>
        <w:jc w:val="both"/>
      </w:pPr>
      <w:r>
        <w:rPr>
          <w:i w:val="1"/>
          <w:iCs w:val="1"/>
        </w:rPr>
        <w:t xml:space="preserve">- </w:t>
      </w:r>
      <w:r>
        <w:rPr/>
        <w:t xml:space="preserve">La población directa, los/las jóvenes, adultos y mayores que se encuentran en riesgo de exclusión social o marginación, población adulta con abuso de medicamentos recetados (benzodiacepinas), que es en quien se centran las acciones propuestas en el proyecto.</w:t>
      </w:r>
    </w:p>
    <w:p>
      <w:pPr>
        <w:jc w:val="both"/>
      </w:pPr>
      <w:r>
        <w:rPr/>
        <w:t xml:space="preserve">- La población indirecta es el resto de la población diana como son; las familias, abuelos, tíos, vecinos etc que conforman parte de la sociedad en la que se desarrolla la población directa.</w:t>
      </w:r>
    </w:p>
    <w:p>
      <w:pPr>
        <w:jc w:val="both"/>
      </w:pPr>
      <w:r>
        <w:rPr/>
        <w:t xml:space="preserve">- Asociaciones Vecinales, Asociaciones Juveniles, Asociaciones Deportivas, Asociaciones Lúdicas, Grupos de adultos y mayores...</w:t>
      </w:r>
    </w:p>
    <w:p>
      <w:pPr>
        <w:pStyle w:val="Heading4"/>
      </w:pPr>
      <w:r>
        <w:rPr>
          <w:u w:val="single"/>
        </w:rPr>
        <w:t xml:space="preserve">Requisitos y Condiciones de acceso a los servicios de la Unidad.</w:t>
      </w:r>
    </w:p>
    <w:p>
      <w:pPr>
        <w:jc w:val="both"/>
      </w:pPr>
      <w:r>
        <w:rPr/>
        <w:t xml:space="preserve">Los dos requisitos imprescindibles es: primero que la persona sea consumidora de sustancias tanto tomada como  comportamental (juego, móvil, table, ordenador...); segundo que soliciten trabajos de prevención en el ámbito de las adicciones.</w:t>
      </w:r>
    </w:p>
    <w:p>
      <w:pPr>
        <w:pStyle w:val="Heading4"/>
      </w:pPr>
      <w:r>
        <w:rPr>
          <w:u w:val="single"/>
        </w:rPr>
        <w:t xml:space="preserve">Horario.</w:t>
      </w:r>
    </w:p>
    <w:p>
      <w:pPr>
        <w:jc w:val="both"/>
      </w:pPr>
      <w:r>
        <w:rPr/>
        <w:t xml:space="preserve">Los programas de Educadores de Calle y Prevención, pueden realizar actividades fuera de estos horarios o en fines de semana y festivos, según demanda.</w:t>
      </w:r>
    </w:p>
    <w:p>
      <w:pPr>
        <w:pStyle w:val="Heading4"/>
      </w:pPr>
      <w:r>
        <w:rPr>
          <w:u w:val="single"/>
        </w:rPr>
        <w:t xml:space="preserve">Precios .</w:t>
      </w:r>
    </w:p>
    <w:p>
      <w:pPr>
        <w:jc w:val="both"/>
      </w:pPr>
      <w:r>
        <w:rPr/>
        <w:t xml:space="preserve">Es gratuito. No existen ningún servicio o demanda susceptible de cobro.</w:t>
      </w:r>
    </w:p>
    <w:p>
      <w:pPr>
        <w:pStyle w:val="Heading4"/>
      </w:pPr>
      <w:r>
        <w:rPr>
          <w:b w:val="1"/>
          <w:bCs w:val="1"/>
        </w:rPr>
        <w:t xml:space="preserve">5.- Normas que rigen los servicios</w:t>
      </w:r>
    </w:p>
    <w:tbl>
      <w:tblGrid>
        <w:gridCol w:w="126450" w:type="dxa"/>
        <w:gridCol w:w="369400" w:type="dxa"/>
      </w:tblGrid>
      <w:tblPr>
        <w:tblW w:w="5000" w:type="pct"/>
        <w:tblLayout w:type="autofit"/>
        <w:bidiVisual w:val="0"/>
      </w:tblPr>
      <w:tr>
        <w:trPr>
          <w:tblHeader w:val="1"/>
        </w:trPr>
        <w:tc>
          <w:tcPr>
            <w:tcW w:w="126450" w:type="pct"/>
            <w:gridSpan w:val="2"/>
          </w:tcPr>
          <w:p>
            <w:pPr/>
            <w:r>
              <w:rPr/>
              <w:t xml:space="preserve">Normas que rigen los servicios</w:t>
            </w:r>
          </w:p>
        </w:tc>
        <w:tc>
          <w:tcPr>
            <w:tcW w:w="369400" w:type="pct"/>
          </w:tcPr>
          <w:p>
            <w:pPr/>
            <w:r>
              <w:rPr/>
              <w:t xml:space="preserve">ODT</w:t>
            </w:r>
          </w:p>
        </w:tc>
      </w:tr>
      <w:tr>
        <w:trPr/>
        <w:tc>
          <w:tcPr>
            <w:tcW w:w="126450" w:type="pct"/>
            <w:vAlign w:val="center"/>
            <w:gridSpan w:val="2"/>
          </w:tcPr>
          <w:p>
            <w:pPr>
              <w:jc w:val="center"/>
            </w:pPr>
            <w:r>
              <w:rPr/>
              <w:t xml:space="preserve">Normas de caracter interno PSO</w:t>
            </w:r>
          </w:p>
        </w:tc>
        <w:tc>
          <w:tcPr>
            <w:tcW w:w="369400" w:type="pct"/>
            <w:vAlign w:val="center"/>
          </w:tcPr>
          <w:p>
            <w:pPr>
              <w:jc w:val="center"/>
            </w:pPr>
          </w:p>
        </w:tc>
      </w:tr>
      <w:tr>
        <w:trPr/>
        <w:tc>
          <w:tcPr>
            <w:tcW w:w="126450" w:type="pct"/>
            <w:vAlign w:val="center"/>
            <w:gridSpan w:val="2"/>
          </w:tcPr>
          <w:p>
            <w:pPr>
              <w:jc w:val="center"/>
            </w:pPr>
            <w:r>
              <w:rPr/>
              <w:t xml:space="preserve">Normas de caracter interno PDL</w:t>
            </w:r>
          </w:p>
        </w:tc>
        <w:tc>
          <w:tcPr>
            <w:tcW w:w="369400" w:type="pct"/>
            <w:vAlign w:val="center"/>
          </w:tcPr>
          <w:p>
            <w:pPr>
              <w:jc w:val="center"/>
            </w:pPr>
          </w:p>
        </w:tc>
      </w:tr>
    </w:tbl>
    <w:p>
      <w:pPr/>
      <w:r>
        <w:rPr>
          <w:b w:val="1"/>
          <w:bCs w:val="1"/>
        </w:rPr>
        <w:t xml:space="preserve">6- Estadísticas de atenciones personales durante 2025:</w:t>
      </w:r>
    </w:p>
    <w:p>
      <w:pPr/>
      <w:r>
        <w:rPr>
          <w:b w:val="1"/>
          <w:bCs w:val="1"/>
        </w:rPr>
        <w:t xml:space="preserve">-Archivo para </w:t>
      </w:r>
    </w:p>
    <w:p>
      <w:pPr>
        <w:pStyle w:val="Heading4"/>
      </w:pPr>
      <w:r>
        <w:rPr>
          <w:b w:val="1"/>
          <w:bCs w:val="1"/>
        </w:rPr>
        <w:t xml:space="preserve">Cartas de servicios </w:t>
      </w:r>
    </w:p>
    <w:tbl>
      <w:tblGrid>
        <w:gridCol w:w="314950" w:type="dxa"/>
        <w:gridCol w:w="204450" w:type="dxa"/>
        <w:gridCol w:w="218050" w:type="dxa"/>
      </w:tblGrid>
      <w:tblPr>
        <w:tblW w:w="5000" w:type="pct"/>
        <w:tblLayout w:type="autofit"/>
        <w:bidiVisual w:val="0"/>
      </w:tblPr>
      <w:tr>
        <w:trPr>
          <w:tblHeader w:val="1"/>
        </w:trPr>
        <w:tc>
          <w:tcPr>
            <w:tcW w:w="314950" w:type="pct"/>
            <w:gridSpan w:val="2"/>
          </w:tcPr>
          <w:p>
            <w:pPr/>
            <w:r>
              <w:rPr/>
              <w:t xml:space="preserve">Carta de Servicio</w:t>
            </w:r>
          </w:p>
        </w:tc>
        <w:tc>
          <w:tcPr>
            <w:tcW w:w="204450" w:type="pct"/>
          </w:tcPr>
          <w:p>
            <w:pPr/>
            <w:r>
              <w:rPr/>
              <w:t xml:space="preserve">PDF</w:t>
            </w:r>
          </w:p>
        </w:tc>
        <w:tc>
          <w:tcPr>
            <w:tcW w:w="218050" w:type="pct"/>
          </w:tcPr>
          <w:p>
            <w:pPr/>
            <w:r>
              <w:rPr/>
              <w:t xml:space="preserve">ODT</w:t>
            </w:r>
          </w:p>
        </w:tc>
      </w:tr>
      <w:tr>
        <w:trPr/>
        <w:tc>
          <w:tcPr>
            <w:tcW w:w="5000" w:type="pct"/>
            <w:vAlign w:val="center"/>
            <w:gridSpan w:val="2"/>
          </w:tcPr>
          <w:p>
            <w:pPr>
              <w:jc w:val="center"/>
            </w:pPr>
            <w:r>
              <w:rPr/>
              <w:t xml:space="preserve">Grado de cumplimiento de los programas</w:t>
            </w:r>
          </w:p>
        </w:tc>
        <w:tc>
          <w:tcPr>
            <w:tcW w:w="204450" w:type="pct"/>
            <w:vAlign w:val="center"/>
          </w:tcPr>
          <w:p>
            <w:pPr>
              <w:jc w:val="center"/>
            </w:pPr>
            <w:r>
              <w:rPr/>
              <w:t xml:space="preserve"> </w:t>
            </w:r>
          </w:p>
        </w:tc>
        <w:tc>
          <w:tcPr>
            <w:tcW w:w="218050" w:type="pct"/>
            <w:vAlign w:val="center"/>
          </w:tcPr>
          <w:p>
            <w:pPr>
              <w:jc w:val="center"/>
            </w:pPr>
          </w:p>
        </w:tc>
      </w:tr>
      <w:tr>
        <w:trPr/>
        <w:tc>
          <w:tcPr>
            <w:tcW w:w="314950" w:type="pct"/>
            <w:vAlign w:val="center"/>
            <w:gridSpan w:val="2"/>
          </w:tcPr>
          <w:p>
            <w:pPr>
              <w:jc w:val="center"/>
            </w:pPr>
            <w:r>
              <w:rPr/>
              <w:t xml:space="preserve">Equipo Terapéutico</w:t>
            </w:r>
          </w:p>
        </w:tc>
        <w:tc>
          <w:tcPr>
            <w:tcW w:w="204450" w:type="pct"/>
            <w:vAlign w:val="center"/>
          </w:tcPr>
          <w:p>
            <w:pPr>
              <w:jc w:val="center"/>
            </w:pPr>
          </w:p>
        </w:tc>
        <w:tc>
          <w:tcPr>
            <w:tcW w:w="218050" w:type="pct"/>
            <w:vAlign w:val="center"/>
          </w:tcPr>
          <w:p>
            <w:pPr>
              <w:jc w:val="center"/>
            </w:pPr>
          </w:p>
        </w:tc>
      </w:tr>
      <w:tr>
        <w:trPr/>
        <w:tc>
          <w:tcPr>
            <w:tcW w:w="314950" w:type="pct"/>
            <w:vAlign w:val="center"/>
            <w:gridSpan w:val="2"/>
          </w:tcPr>
          <w:p>
            <w:pPr>
              <w:jc w:val="center"/>
            </w:pPr>
            <w:r>
              <w:rPr/>
              <w:t xml:space="preserve">Laboratorio y Farmacia</w:t>
            </w:r>
          </w:p>
        </w:tc>
        <w:tc>
          <w:tcPr>
            <w:tcW w:w="204450" w:type="pct"/>
            <w:vAlign w:val="center"/>
          </w:tcPr>
          <w:p>
            <w:pPr>
              <w:jc w:val="center"/>
            </w:pPr>
          </w:p>
        </w:tc>
        <w:tc>
          <w:tcPr>
            <w:tcW w:w="218050" w:type="pct"/>
            <w:vAlign w:val="center"/>
          </w:tcPr>
          <w:p>
            <w:pPr>
              <w:jc w:val="center"/>
            </w:pPr>
          </w:p>
        </w:tc>
      </w:tr>
      <w:tr>
        <w:trPr/>
        <w:tc>
          <w:tcPr>
            <w:tcW w:w="314950" w:type="pct"/>
            <w:vAlign w:val="center"/>
            <w:gridSpan w:val="2"/>
          </w:tcPr>
          <w:p>
            <w:pPr>
              <w:jc w:val="center"/>
            </w:pPr>
            <w:r>
              <w:rPr/>
              <w:t xml:space="preserve">Programa de Menores</w:t>
            </w:r>
          </w:p>
        </w:tc>
        <w:tc>
          <w:tcPr>
            <w:tcW w:w="204450" w:type="pct"/>
            <w:vAlign w:val="center"/>
          </w:tcPr>
          <w:p>
            <w:pPr>
              <w:jc w:val="center"/>
            </w:pPr>
          </w:p>
        </w:tc>
        <w:tc>
          <w:tcPr>
            <w:tcW w:w="218050" w:type="pct"/>
            <w:vAlign w:val="center"/>
          </w:tcPr>
          <w:p>
            <w:pPr>
              <w:jc w:val="center"/>
            </w:pPr>
          </w:p>
        </w:tc>
      </w:tr>
      <w:tr>
        <w:trPr/>
        <w:tc>
          <w:tcPr>
            <w:tcW w:w="314950" w:type="pct"/>
            <w:vAlign w:val="center"/>
            <w:gridSpan w:val="2"/>
          </w:tcPr>
          <w:p>
            <w:pPr>
              <w:jc w:val="center"/>
            </w:pPr>
            <w:r>
              <w:rPr/>
              <w:t xml:space="preserve">Programa de Prevención</w:t>
            </w:r>
          </w:p>
        </w:tc>
        <w:tc>
          <w:tcPr>
            <w:tcW w:w="204450" w:type="pct"/>
            <w:vAlign w:val="center"/>
          </w:tcPr>
          <w:p>
            <w:pPr>
              <w:jc w:val="center"/>
            </w:pPr>
          </w:p>
        </w:tc>
        <w:tc>
          <w:tcPr>
            <w:tcW w:w="218050" w:type="pct"/>
            <w:vAlign w:val="center"/>
          </w:tcPr>
          <w:p>
            <w:pPr>
              <w:jc w:val="center"/>
            </w:pPr>
          </w:p>
        </w:tc>
      </w:tr>
      <w:tr>
        <w:trPr/>
        <w:tc>
          <w:tcPr>
            <w:tcW w:w="314950" w:type="pct"/>
            <w:vAlign w:val="center"/>
            <w:gridSpan w:val="2"/>
          </w:tcPr>
          <w:p>
            <w:pPr>
              <w:jc w:val="center"/>
            </w:pPr>
            <w:r>
              <w:rPr/>
              <w:t xml:space="preserve">Educadores de Calle</w:t>
            </w:r>
          </w:p>
        </w:tc>
        <w:tc>
          <w:tcPr>
            <w:tcW w:w="204450" w:type="pct"/>
            <w:vAlign w:val="center"/>
          </w:tcPr>
          <w:p>
            <w:pPr>
              <w:jc w:val="center"/>
            </w:pPr>
          </w:p>
        </w:tc>
        <w:tc>
          <w:tcPr>
            <w:tcW w:w="218050" w:type="pct"/>
            <w:vAlign w:val="center"/>
          </w:tcPr>
          <w:p>
            <w:pPr>
              <w:jc w:val="center"/>
            </w:pPr>
          </w:p>
        </w:tc>
      </w:tr>
    </w:tbl>
    <w:p>
      <w:pPr/>
      <w:r>
        <w:rPr/>
        <w:t xml:space="preserve"> </w:t>
      </w:r>
    </w:p>
    <w:p>
      <w:pPr>
        <w:pStyle w:val="Heading4"/>
      </w:pPr>
      <w:r>
        <w:rPr>
          <w:b w:val="1"/>
          <w:bCs w:val="1"/>
        </w:rPr>
        <w:t xml:space="preserve">Memorias de prestación de servicios</w:t>
      </w:r>
    </w:p>
    <w:p>
      <w:pPr>
        <w:pStyle w:val="Heading5"/>
      </w:pPr>
      <w:r>
        <w:rPr>
          <w:b w:val="1"/>
          <w:bCs w:val="1"/>
        </w:rPr>
        <w:t xml:space="preserve">2025</w:t>
      </w:r>
    </w:p>
    <w:p>
      <w:pPr>
        <w:pStyle w:val="Heading5"/>
      </w:pPr>
      <w:r>
        <w:rPr>
          <w:b w:val="1"/>
          <w:bCs w:val="1"/>
        </w:rPr>
        <w:t xml:space="preserve">2024</w:t>
      </w:r>
    </w:p>
    <w:p>
      <w:pPr>
        <w:pStyle w:val="Heading5"/>
      </w:pPr>
      <w:r>
        <w:rPr>
          <w:b w:val="1"/>
          <w:bCs w:val="1"/>
        </w:rPr>
        <w:t xml:space="preserve">2023</w:t>
      </w:r>
    </w:p>
    <w:p>
      <w:pPr>
        <w:pStyle w:val="Heading5"/>
      </w:pPr>
      <w:r>
        <w:rPr>
          <w:b w:val="1"/>
          <w:bCs w:val="1"/>
        </w:rPr>
        <w:t xml:space="preserve">2022</w:t>
      </w:r>
    </w:p>
    <w:p>
      <w:pPr>
        <w:pStyle w:val="Heading5"/>
      </w:pPr>
      <w:r>
        <w:rPr>
          <w:b w:val="1"/>
          <w:bCs w:val="1"/>
        </w:rPr>
        <w:t xml:space="preserve">2021</w:t>
      </w:r>
    </w:p>
    <w:p>
      <w:pPr>
        <w:pStyle w:val="Heading5"/>
      </w:pPr>
      <w:r>
        <w:rPr>
          <w:b w:val="1"/>
          <w:bCs w:val="1"/>
        </w:rPr>
        <w:t xml:space="preserve">2020</w:t>
      </w:r>
    </w:p>
    <w:p>
      <w:pPr>
        <w:pStyle w:val="Heading5"/>
      </w:pPr>
      <w:r>
        <w:rPr>
          <w:b w:val="1"/>
          <w:bCs w:val="1"/>
        </w:rPr>
        <w:t xml:space="preserve">2019</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2026-07-28T23:24:04+00:00</dcterms:created>
  <dcterms:modified xsi:type="dcterms:W3CDTF">2026-07-28T23:24:04+00:00</dcterms:modified>
</cp:coreProperties>
</file>

<file path=docProps/custom.xml><?xml version="1.0" encoding="utf-8"?>
<Properties xmlns="http://schemas.openxmlformats.org/officeDocument/2006/custom-properties" xmlns:vt="http://schemas.openxmlformats.org/officeDocument/2006/docPropsVTypes"/>
</file>