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13. </w:t>
      </w:r>
      <w:r>
        <w:rPr>
          <w:b w:val="1"/>
          <w:bCs w:val="1"/>
        </w:rPr>
        <w:t xml:space="preserve">Convenios y encomiendas de gestión</w:t>
      </w:r>
      <w:r>
        <w:rPr/>
        <w:t xml:space="preserve"> se informa que no existe actividad o información acerca de ambas obligaciones ya que en no se ha firmado ningún convenio, ni encomienda, ni encargo propio en </w:t>
      </w:r>
      <w:r>
        <w:rPr>
          <w:b w:val="1"/>
          <w:bCs w:val="1"/>
        </w:rPr>
        <w:t xml:space="preserve">2021, 2022 y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</w:t>
      </w:r>
      <w:r>
        <w:rPr>
          <w:b w:val="1"/>
          <w:bCs w:val="1"/>
        </w:rPr>
        <w:t xml:space="preserve">2021, 2022, 2023, 2024 y 2025.</w:t>
      </w:r>
    </w:p>
    <w:tbl>
      <w:tblGrid>
        <w:gridCol w:w="439650" w:type="dxa"/>
        <w:gridCol w:w="60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6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39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03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2026-10-27T09:13:55+00:00</dcterms:created>
  <dcterms:modified xsi:type="dcterms:W3CDTF">2026-10-27T09:13:55+00:00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