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Convenios y 13. </w:t>
      </w:r>
      <w:r>
        <w:rPr>
          <w:b w:val="1"/>
          <w:bCs w:val="1"/>
        </w:rPr>
        <w:t xml:space="preserve">Convenios y encomiendas de gestión</w:t>
      </w:r>
      <w:r>
        <w:rPr/>
        <w:t xml:space="preserve"> se informa que no existe actividad o información acerca de ambas obligaciones ya que en no se ha firmado ningún convenio, ni encomienda, ni encargo propio en </w:t>
      </w:r>
      <w:r>
        <w:rPr>
          <w:b w:val="1"/>
          <w:bCs w:val="1"/>
        </w:rPr>
        <w:t xml:space="preserve">2021, 2022 y 2023, 2024 y 2025</w:t>
      </w:r>
      <w:r>
        <w:rPr/>
        <w:t xml:space="preserve"> pudiendo utilizar la ciudadanía los medios legalmente establecidos para ejercer su derecho de acceso a la información pública. No se han producido tampoco modificaciones sobre estas en </w:t>
      </w:r>
      <w:r>
        <w:rPr>
          <w:b w:val="1"/>
          <w:bCs w:val="1"/>
        </w:rPr>
        <w:t xml:space="preserve">2021, 2022, 2023, 2024 y 2025.</w:t>
      </w:r>
    </w:p>
    <w:tbl>
      <w:tblGrid>
        <w:gridCol w:w="439650" w:type="dxa"/>
        <w:gridCol w:w="6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9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0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0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39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03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2026-09-12T04:47:33+00:00</dcterms:created>
  <dcterms:modified xsi:type="dcterms:W3CDTF">2026-09-12T04:47:33+00:00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