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2450" w:type="dxa"/>
        <w:gridCol w:w="498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0900" w:type="pct"/>
            <w:gridSpan w:val="3"/>
          </w:tcPr>
          <w:p>
            <w:pPr/>
            <w:r>
              <w:rPr/>
              <w:t xml:space="preserve">Órgano de contratación: Instituto Municipal de Toxicomania</w:t>
            </w:r>
          </w:p>
        </w:tc>
      </w:tr>
      <w:tr>
        <w:trPr/>
        <w:tc>
          <w:tcPr>
            <w:tcW w:w="4924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CIF</w:t>
            </w:r>
          </w:p>
        </w:tc>
        <w:tc>
          <w:tcPr>
            <w:tcW w:w="498450" w:type="pct"/>
            <w:vAlign w:val="center"/>
          </w:tcPr>
          <w:p>
            <w:pPr>
              <w:jc w:val="center"/>
            </w:pPr>
            <w:r>
              <w:rPr/>
              <w:t xml:space="preserve">9-8500901 G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Dirección</w:t>
            </w:r>
          </w:p>
        </w:tc>
        <w:tc>
          <w:tcPr>
            <w:tcW w:w="498450" w:type="pct"/>
            <w:vAlign w:val="center"/>
          </w:tcPr>
          <w:p>
            <w:pPr>
              <w:jc w:val="center"/>
            </w:pPr>
            <w:r>
              <w:rPr/>
              <w:t xml:space="preserve">c/ Aljirofe, 16, 35460, Gáldar.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Telefono</w:t>
            </w:r>
          </w:p>
        </w:tc>
        <w:tc>
          <w:tcPr>
            <w:tcW w:w="498450" w:type="pct"/>
            <w:vAlign w:val="center"/>
          </w:tcPr>
          <w:p>
            <w:pPr>
              <w:jc w:val="center"/>
            </w:pPr>
            <w:r>
              <w:rPr/>
              <w:t xml:space="preserve">928553053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Correo Electrónico</w:t>
            </w:r>
          </w:p>
        </w:tc>
        <w:tc>
          <w:tcPr>
            <w:tcW w:w="498450" w:type="pct"/>
            <w:vAlign w:val="center"/>
          </w:tcPr>
          <w:p>
            <w:pPr>
              <w:jc w:val="center"/>
            </w:pPr>
            <w:r>
              <w:rPr/>
              <w:t xml:space="preserve">cad@galdar.es</w:t>
            </w:r>
          </w:p>
        </w:tc>
      </w:tr>
    </w:tbl>
    <w:p>
      <w:pPr/>
      <w:r>
        <w:rPr>
          <w:b w:val="1"/>
          <w:bCs w:val="1"/>
        </w:rPr>
        <w:t xml:space="preserve">Información que se considere necesaria o conveniente para la adecuada gestión de la contratación</w:t>
      </w:r>
    </w:p>
    <w:p>
      <w:pPr/>
      <w:r>
        <w:rPr/>
        <w:t xml:space="preserve">El resto de información acerca de licitaciones se especifíca en el siguiente .</w:t>
      </w:r>
    </w:p>
    <w:p>
      <w:pPr/>
      <w:r>
        <w:rPr/>
        <w:t xml:space="preserve"> - No se han realizado preguntas frecuentes en los procesos de contratación ni se han realizado aclaraciones relativas al contenido de los contratos durante los años 2023, 2024 y 2025.</w:t>
      </w:r>
    </w:p>
    <w:p>
      <w:pPr/>
      <w:r>
        <w:rPr/>
        <w:t xml:space="preserve">Al objeto de dar cumplimiento a los Indicadores de la Ley Canaria de Transparencia (Ley 12/2014, de 26 de diciembre) en su apartado sobre Contratos, se informa que en los indicadores/obligaciones de publicidad activa:</w:t>
      </w:r>
    </w:p>
    <w:p>
      <w:pPr/>
      <w:r>
        <w:rPr/>
        <w:t xml:space="preserve">     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2026-10-27T09:13:41+00:00</dcterms:created>
  <dcterms:modified xsi:type="dcterms:W3CDTF">2026-10-27T09:13:41+00:00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