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Información estadística necesaria para valorar el grado de cumplimiento y calidad de los servicios públicos que sean de su competencia.</w:t>
      </w:r>
    </w:p>
    <w:tbl>
      <w:tblGrid>
        <w:gridCol w:w="46050" w:type="dxa"/>
        <w:gridCol w:w="138850" w:type="dxa"/>
        <w:gridCol w:w="342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6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38850" w:type="pct"/>
            <w:vAlign w:val="center"/>
          </w:tcPr>
          <w:p>
            <w:pPr>
              <w:jc w:val="center"/>
            </w:pPr>
            <w:r>
              <w:rPr/>
              <w:t xml:space="preserve">Estadísticas de prestación de servicios</w:t>
            </w:r>
          </w:p>
        </w:tc>
        <w:tc>
          <w:tcPr>
            <w:tcW w:w="3424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2026-09-12T04:46:06+00:00</dcterms:created>
  <dcterms:modified xsi:type="dcterms:W3CDTF">2026-09-12T04:46:06+00:00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